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cs="Arial"/>
          <w:b/>
        </w:rPr>
      </w:pPr>
      <w:r>
        <w:rPr/>
        <w:drawing>
          <wp:inline distT="0" distB="0" distL="0" distR="0">
            <wp:extent cx="5986780" cy="647700"/>
            <wp:effectExtent l="0" t="0" r="0" b="0"/>
            <wp:docPr id="1" name="Obraz 21" descr="Obraz przedstawia dwa logotypy, tj. flagę Unii Europejskiej oraz Logo Programu Rozwoju Obszarów Wiejskich na lata 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1" descr="Obraz przedstawia dwa logotypy, tj. flagę Unii Europejskiej oraz Logo Programu Rozwoju Obszarów Wiejskich na lata 2014-202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  <w:t xml:space="preserve">OPIS PRZEDMIOTU ZAMÓWIENIA </w:t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  <w:t>pn.</w:t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rPr>
          <w:rFonts w:cs="Arial"/>
          <w:b/>
        </w:rPr>
      </w:pPr>
      <w:r>
        <w:rPr>
          <w:rFonts w:cs="Arial"/>
          <w:b/>
          <w:bCs/>
        </w:rPr>
        <w:t>Opracowanie dokumentacji projektowej wraz z wykonaniem robót dla zadania pn. „Zagospodarowanie poscaleniowe  wsi Jelcza,  gmina Charsznica”</w:t>
      </w:r>
    </w:p>
    <w:p>
      <w:pPr>
        <w:pStyle w:val="Normal"/>
        <w:spacing w:lineRule="auto" w:line="360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i/>
        </w:rPr>
        <w:t>Lokalizacja: Obręb: Jelcza, gm. Charsznica</w:t>
      </w:r>
    </w:p>
    <w:p>
      <w:pPr>
        <w:pStyle w:val="Normal"/>
        <w:spacing w:lineRule="auto" w:line="360"/>
        <w:jc w:val="both"/>
        <w:rPr>
          <w:rFonts w:cs="Arial"/>
          <w:i/>
          <w:i/>
        </w:rPr>
      </w:pPr>
      <w:r>
        <w:rPr>
          <w:rFonts w:cs="Arial"/>
          <w:i/>
        </w:rPr>
      </w:r>
    </w:p>
    <w:p>
      <w:pPr>
        <w:pStyle w:val="Normal"/>
        <w:spacing w:lineRule="auto" w:line="360"/>
        <w:rPr>
          <w:rFonts w:cs="Arial"/>
        </w:rPr>
      </w:pPr>
      <w:r>
        <w:rPr>
          <w:rFonts w:cs="Arial"/>
          <w:i/>
        </w:rPr>
        <w:t>Inwestor Powiat Miechowski – Starostwo Powiatowe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  <w:b/>
          <w:bCs/>
        </w:rPr>
        <w:t>Klasyfikacji CPV:</w:t>
      </w:r>
    </w:p>
    <w:p>
      <w:pPr>
        <w:pStyle w:val="Normal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both"/>
        <w:rPr>
          <w:color w:val="000000"/>
        </w:rPr>
      </w:pPr>
      <w:r>
        <w:rPr>
          <w:rFonts w:cs="Arial"/>
          <w:color w:val="000000"/>
        </w:rPr>
        <w:t xml:space="preserve">71320000-7   Usługi inżynieryjne w zakresie projektowania </w:t>
      </w:r>
    </w:p>
    <w:p>
      <w:pPr>
        <w:pStyle w:val="Normal"/>
        <w:ind w:hanging="2410" w:left="2410"/>
        <w:rPr>
          <w:color w:val="000000"/>
        </w:rPr>
      </w:pPr>
      <w:r>
        <w:rPr>
          <w:rFonts w:cs="Arial"/>
          <w:color w:val="000000"/>
        </w:rPr>
        <w:t>71322000-1   Usługi inżynierii projektowej w zakresie inżynierii lądowej                            i wodnej.</w:t>
      </w:r>
    </w:p>
    <w:p>
      <w:pPr>
        <w:pStyle w:val="Heading3"/>
        <w:jc w:val="both"/>
        <w:rPr>
          <w:rFonts w:ascii="Arial" w:hAnsi="Arial"/>
          <w:b w:val="false"/>
          <w:b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>45233123-7  Roboty budowlane w zakresie dróg podrzędnych</w:t>
      </w:r>
    </w:p>
    <w:p>
      <w:pPr>
        <w:pStyle w:val="Heading3"/>
        <w:jc w:val="both"/>
        <w:rPr>
          <w:rFonts w:ascii="Arial" w:hAnsi="Arial"/>
          <w:b w:val="false"/>
          <w:b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 xml:space="preserve">45233140-2   Roboty drogowe </w:t>
      </w:r>
    </w:p>
    <w:p>
      <w:pPr>
        <w:pStyle w:val="BodyText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spacing w:lineRule="auto" w:line="360"/>
        <w:jc w:val="both"/>
        <w:rPr>
          <w:rFonts w:cs="Arial"/>
          <w:u w:val="single"/>
        </w:rPr>
      </w:pPr>
      <w:r>
        <w:rPr>
          <w:rFonts w:cs="Arial"/>
          <w:b/>
          <w:u w:val="single"/>
        </w:rPr>
        <w:t xml:space="preserve">CZĘŚĆ OPISOWA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b/>
        </w:rPr>
        <w:t xml:space="preserve">Charakterystyczne parametry określające zakres zadania </w:t>
      </w:r>
    </w:p>
    <w:p>
      <w:pPr>
        <w:pStyle w:val="Normal"/>
        <w:keepNext w:val="true"/>
        <w:numPr>
          <w:ilvl w:val="0"/>
          <w:numId w:val="8"/>
        </w:numPr>
        <w:spacing w:lineRule="auto" w:line="360"/>
        <w:ind w:hanging="284" w:left="284"/>
        <w:jc w:val="both"/>
        <w:outlineLvl w:val="0"/>
        <w:rPr>
          <w:rFonts w:cs="Arial"/>
          <w:b/>
          <w:bCs/>
          <w:kern w:val="2"/>
        </w:rPr>
      </w:pPr>
      <w:r>
        <w:rPr>
          <w:rFonts w:cs="Arial"/>
          <w:b/>
          <w:bCs/>
          <w:kern w:val="2"/>
        </w:rPr>
        <w:t>Opis ogólny przedmiotu zamówienia :</w:t>
      </w:r>
    </w:p>
    <w:p>
      <w:pPr>
        <w:pStyle w:val="Normal"/>
        <w:spacing w:lineRule="auto" w:line="360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Przedmiotem zamówienia jest realizacja inwestycji w systemie </w:t>
      </w:r>
      <w:r>
        <w:rPr>
          <w:rFonts w:cs="Arial"/>
          <w:b/>
          <w:bCs/>
        </w:rPr>
        <w:t xml:space="preserve">„ zaprojektuj                 i wybuduj ”  </w:t>
      </w:r>
      <w:r>
        <w:rPr>
          <w:rFonts w:cs="Arial"/>
        </w:rPr>
        <w:t>dla zadania pn. „Zagospodarowanie poscaleniowe  wsi Jelcza,  gmina Charsznica”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Zakres zamówienia polega na zaprojektowaniu dróg w ramach wyznaczonych geodezyjnie działek zapewniających obsługą komunikacyjną przyległych terenów i ich wykonaniu. 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Dla inwestycji wydana została Decyzja Starosty Miechowskiego znak GG.611.1.11.2022 Miechów, z dnia 23.01.2024r. 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Po uzyskaniu stosownych pozwoleń umożliwiających realizację robót budowlanych Wykonawca dostarczy Zamawiającemu ich kserokopię oraz 1 egz. d</w:t>
      </w:r>
      <w:r>
        <w:rPr>
          <w:rFonts w:cs="Arial"/>
          <w:lang w:eastAsia="pl-PL"/>
        </w:rPr>
        <w:t xml:space="preserve">okumentacji projektowej w formie papierowej oraz w formie elektronicznej na płytach CD,                        w postaci plików ogólnodostępnych (formaty: .doc, xls, .pdf).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W ramach zadania zaplanowano :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cs="Arial"/>
        </w:rPr>
        <w:t>budowę nowych dróg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cs="Arial"/>
        </w:rPr>
        <w:t xml:space="preserve">przebudowę dróg rolniczych 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cs="Arial"/>
        </w:rPr>
        <w:t>korekta przebiegu i poprawa parametrów technicznych rowów melioracyjnych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cs="Arial"/>
        </w:rPr>
        <w:t>budowa i przebudowa przepustów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cs="Arial"/>
        </w:rPr>
        <w:t>prace rekultywacyjne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cs="Arial"/>
        </w:rPr>
        <w:t xml:space="preserve">zadrzewienia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b/>
          <w:bCs/>
        </w:rPr>
      </w:pPr>
      <w:r>
        <w:rPr>
          <w:rFonts w:cs="Arial"/>
          <w:b/>
          <w:bCs/>
        </w:rPr>
        <w:t>Sporządzenie dokumentacji projektowej dla następującego zakresu :</w:t>
      </w:r>
    </w:p>
    <w:p>
      <w:pPr>
        <w:pStyle w:val="Normal"/>
        <w:keepNext w:val="true"/>
        <w:numPr>
          <w:ilvl w:val="0"/>
          <w:numId w:val="2"/>
        </w:numPr>
        <w:outlineLvl w:val="0"/>
        <w:rPr>
          <w:rFonts w:cs="Arial"/>
          <w:b/>
          <w:bCs/>
          <w:kern w:val="2"/>
        </w:rPr>
      </w:pPr>
      <w:r>
        <w:rPr>
          <w:rFonts w:cs="Arial" w:ascii="Cambria" w:hAnsi="Cambria"/>
          <w:kern w:val="2"/>
          <w:sz w:val="28"/>
          <w:szCs w:val="28"/>
        </w:rPr>
        <w:t xml:space="preserve">Budowa nowych dróg wewnętrznych - wskazanych w tabelce nr 1                                                                                                                           </w:t>
      </w:r>
    </w:p>
    <w:p>
      <w:pPr>
        <w:pStyle w:val="Normal"/>
        <w:spacing w:lineRule="auto" w:line="360"/>
        <w:rPr>
          <w:rFonts w:cs="Arial"/>
        </w:rPr>
      </w:pPr>
      <w:r>
        <w:rPr>
          <w:rFonts w:cs="Arial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cs="Arial"/>
        </w:rPr>
        <w:t>Tabela nr 1</w:t>
      </w:r>
    </w:p>
    <w:tbl>
      <w:tblPr>
        <w:tblW w:w="9634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94"/>
        <w:gridCol w:w="1459"/>
        <w:gridCol w:w="2886"/>
        <w:gridCol w:w="1278"/>
        <w:gridCol w:w="1415"/>
        <w:gridCol w:w="1701"/>
      </w:tblGrid>
      <w:tr>
        <w:trPr>
          <w:trHeight w:val="696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DROGI DO BUDOWY</w:t>
            </w:r>
          </w:p>
        </w:tc>
      </w:tr>
      <w:tr>
        <w:trPr>
          <w:trHeight w:val="842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Nazwa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Oznaczenie drogi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Długość drogi</w:t>
              <w:br/>
              <w:t>[km]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Kategoria drogi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Docelowa nawierzchnia</w:t>
              <w:br/>
              <w:t xml:space="preserve"> drogi</w:t>
            </w:r>
          </w:p>
        </w:tc>
      </w:tr>
      <w:tr>
        <w:trPr>
          <w:trHeight w:val="383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1. Urządzenie nowych dróg o nawierzchni gruntowej</w:t>
            </w:r>
          </w:p>
        </w:tc>
      </w:tr>
      <w:tr>
        <w:trPr>
          <w:trHeight w:val="1112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16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1341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0,536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</w:tr>
      <w:tr>
        <w:trPr>
          <w:trHeight w:val="979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28*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od 419 do 440, 441/1, 441/2, 441/3, 442, 468, 470, 471, 472, 473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0,444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</w:tr>
      <w:tr>
        <w:trPr>
          <w:trHeight w:val="397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1.3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41*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1269, 1276, 1277, 1278, 1279/1, 1279/2,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0,144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</w:tr>
      <w:tr>
        <w:trPr>
          <w:trHeight w:val="397" w:hRule="atLeast"/>
        </w:trPr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1,124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34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94"/>
        <w:gridCol w:w="1459"/>
        <w:gridCol w:w="2886"/>
        <w:gridCol w:w="1278"/>
        <w:gridCol w:w="1415"/>
        <w:gridCol w:w="1701"/>
      </w:tblGrid>
      <w:tr>
        <w:trPr>
          <w:trHeight w:val="454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2. Budowa nowych dróg o nawierzchni tłuczniowej</w:t>
            </w:r>
          </w:p>
        </w:tc>
      </w:tr>
      <w:tr>
        <w:trPr>
          <w:trHeight w:val="190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9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708, 952, 950, 974,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od 749 do 754, 792/1, 792/2, od 783 do 787, 788/1, od 789 do 793, 794/1, 794/2, 795/2, 796, 797,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1255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12*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1029, od 1000 do 1028, 995, 997, 998, 999, 1390, 1052/1,1052/2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11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13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838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397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22*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317, 1327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0,045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397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24*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285, 284, 325, 326/5, 326/7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0,112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397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27*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478,410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0,046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397" w:hRule="atLeast"/>
        </w:trPr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1,481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  <w:tr>
        <w:trPr>
          <w:trHeight w:val="454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3. Budowa nowych dróg o nawierzchni z płyt ażurowych</w:t>
            </w:r>
          </w:p>
        </w:tc>
      </w:tr>
      <w:tr>
        <w:trPr>
          <w:trHeight w:val="397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3.1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33*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1169, 1170, 1171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0,045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ulepszona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z płyt ażurowych</w:t>
            </w:r>
          </w:p>
        </w:tc>
      </w:tr>
      <w:tr>
        <w:trPr>
          <w:trHeight w:val="397" w:hRule="atLeast"/>
        </w:trPr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0,045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  <w:tr>
        <w:trPr>
          <w:trHeight w:val="397" w:hRule="atLeast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2,650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</w:tbl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ListParagraph"/>
        <w:numPr>
          <w:ilvl w:val="0"/>
          <w:numId w:val="9"/>
        </w:numPr>
        <w:spacing w:lineRule="auto" w:line="360"/>
        <w:ind w:hanging="426" w:left="426"/>
        <w:rPr>
          <w:rFonts w:cs="Arial"/>
          <w:u w:val="single"/>
        </w:rPr>
      </w:pPr>
      <w:bookmarkStart w:id="0" w:name="_Hlk396649701"/>
      <w:bookmarkEnd w:id="0"/>
      <w:r>
        <w:rPr>
          <w:rFonts w:cs="Arial"/>
          <w:u w:val="single"/>
        </w:rPr>
        <w:t xml:space="preserve">Przebudowa istniejących dróg wewnętrznych - wskazanych w tabelce nr 2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2</w:t>
      </w:r>
    </w:p>
    <w:tbl>
      <w:tblPr>
        <w:tblW w:w="9660" w:type="dxa"/>
        <w:jc w:val="left"/>
        <w:tblInd w:w="5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89"/>
        <w:gridCol w:w="1364"/>
        <w:gridCol w:w="1276"/>
        <w:gridCol w:w="992"/>
        <w:gridCol w:w="1394"/>
        <w:gridCol w:w="1798"/>
        <w:gridCol w:w="1846"/>
      </w:tblGrid>
      <w:tr>
        <w:trPr>
          <w:trHeight w:val="541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DROGI DO PRZEBUDOWY</w:t>
            </w:r>
          </w:p>
        </w:tc>
      </w:tr>
      <w:tr>
        <w:trPr>
          <w:trHeight w:val="630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 xml:space="preserve">Nazwa </w:t>
              <w:br/>
              <w:t>obiektu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Oznaczenie drogi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Długość drogi</w:t>
              <w:br/>
              <w:t>[km]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Kategoria drogi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Docelowa nawierzchnia</w:t>
              <w:br/>
              <w:t xml:space="preserve"> drogi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Uwagi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(istniejąca nawierzchnia drogi)</w:t>
            </w:r>
          </w:p>
        </w:tc>
      </w:tr>
      <w:tr>
        <w:trPr>
          <w:trHeight w:val="706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1. Przebudowa istniejących dróg gruntowych w złym stanie o docelowej nawierzchni gruntowej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4*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0,165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0,979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0,113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726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17*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0,284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0,380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1364, 353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0,480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35*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0,536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40*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0,698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1.9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0,165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3,800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2. Przebudowa istniejących dróg gruntowych w złym stanie o docelowej nawierzchni tłuczniowej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0,242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0,224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6*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0,191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0,465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1001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0,156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0,666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23</w:t>
            </w:r>
            <w:r>
              <w:rPr>
                <w:rFonts w:eastAsia="Times New Roman" w:cs="Arial"/>
                <w:sz w:val="22"/>
                <w:szCs w:val="22"/>
                <w:vertAlign w:val="superscript"/>
                <w:lang w:eastAsia="pl-PL"/>
              </w:rPr>
              <w:t>1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0,482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25*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cs="Arial"/>
                <w:sz w:val="22"/>
                <w:szCs w:val="22"/>
              </w:rPr>
              <w:t>1353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0,090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2.9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26*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cs="Arial"/>
                <w:sz w:val="22"/>
                <w:szCs w:val="22"/>
              </w:rPr>
              <w:t>1382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29*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0,292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32</w:t>
            </w:r>
            <w:r>
              <w:rPr>
                <w:rFonts w:eastAsia="Times New Roman" w:cs="Arial"/>
                <w:sz w:val="22"/>
                <w:szCs w:val="22"/>
                <w:vertAlign w:val="superscript"/>
                <w:lang w:eastAsia="pl-PL"/>
              </w:rPr>
              <w:t>2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0,632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1401,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0,094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38*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0,047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1402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0,505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43*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0,661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3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4,795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798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3. Przebudowa istniejących dróg gruntowych w złym stanie o docelowej nawierzchni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 płyt ażurowych</w:t>
            </w:r>
          </w:p>
        </w:tc>
      </w:tr>
      <w:tr>
        <w:trPr>
          <w:trHeight w:val="949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3.1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0,093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z płyt ażurowych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3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0,093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661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4. Przebudowa istniejących dróg tłuczniowych w złym stanie o docelowej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nawierzchni tłuczniowej</w:t>
            </w:r>
          </w:p>
        </w:tc>
      </w:tr>
      <w:tr>
        <w:trPr>
          <w:trHeight w:val="94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4.1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36*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1380, 1403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0,611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tłuczniowa</w:t>
            </w:r>
          </w:p>
        </w:tc>
      </w:tr>
      <w:tr>
        <w:trPr>
          <w:trHeight w:val="540" w:hRule="atLeast"/>
        </w:trPr>
        <w:tc>
          <w:tcPr>
            <w:tcW w:w="3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0,611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60" w:type="dxa"/>
        <w:jc w:val="left"/>
        <w:tblInd w:w="5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89"/>
        <w:gridCol w:w="1364"/>
        <w:gridCol w:w="1134"/>
        <w:gridCol w:w="142"/>
        <w:gridCol w:w="992"/>
        <w:gridCol w:w="1394"/>
        <w:gridCol w:w="1798"/>
        <w:gridCol w:w="1846"/>
      </w:tblGrid>
      <w:tr>
        <w:trPr>
          <w:trHeight w:val="496" w:hRule="atLeast"/>
        </w:trPr>
        <w:tc>
          <w:tcPr>
            <w:tcW w:w="9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5. Przebudowa istniejących dróg tłuczniowych poprzez podniesienie terenu</w:t>
            </w:r>
          </w:p>
        </w:tc>
      </w:tr>
      <w:tr>
        <w:trPr>
          <w:trHeight w:val="971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15*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tłuczniowa</w:t>
            </w:r>
          </w:p>
        </w:tc>
      </w:tr>
      <w:tr>
        <w:trPr>
          <w:trHeight w:val="397" w:hRule="atLeast"/>
        </w:trPr>
        <w:tc>
          <w:tcPr>
            <w:tcW w:w="3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0,548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  <w:tr>
        <w:trPr>
          <w:trHeight w:val="662" w:hRule="atLeast"/>
        </w:trPr>
        <w:tc>
          <w:tcPr>
            <w:tcW w:w="9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6. Przebudowa istniejących dróg bitumicznych poprzez poszerzenie pobocza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i budowę obustronnego odwodnienia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6.1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1337/1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0,943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3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0,943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  <w:tr>
        <w:trPr>
          <w:trHeight w:val="661" w:hRule="atLeast"/>
        </w:trPr>
        <w:tc>
          <w:tcPr>
            <w:tcW w:w="9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7. Przebudowa istniejących dróg bitumicznych poprzez podniesienie terenu,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poprawę nawierzchni oraz utwardzenie i poszerzenie pobocza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7.1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10*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0,483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3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0,483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  <w:tr>
        <w:trPr>
          <w:trHeight w:val="645" w:hRule="atLeast"/>
        </w:trPr>
        <w:tc>
          <w:tcPr>
            <w:tcW w:w="9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8. Przebudowa istniejących dróg bitumicznych poprzez poprawę nawierzchni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i poszerzenie pobocza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8.1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14*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1391,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1067/2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0,492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8.2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30*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1354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8.3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31*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1365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1,223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8.4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34*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0,944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3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2,875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14,148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</w:tbl>
    <w:p>
      <w:pPr>
        <w:pStyle w:val="Normal"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vertAlign w:val="superscript"/>
        </w:rPr>
        <w:t>1</w:t>
      </w:r>
      <w:r>
        <w:rPr>
          <w:rFonts w:cs="Arial"/>
        </w:rPr>
        <w:t xml:space="preserve"> </w:t>
      </w:r>
      <w:r>
        <w:rPr>
          <w:rFonts w:cs="Arial"/>
          <w:sz w:val="22"/>
          <w:szCs w:val="22"/>
        </w:rPr>
        <w:t>uwzględnić w projekcie możliwość podniesienia poziomu drogi,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vertAlign w:val="superscript"/>
        </w:rPr>
        <w:t>2</w:t>
      </w:r>
      <w:r>
        <w:rPr>
          <w:rFonts w:cs="Arial"/>
          <w:sz w:val="22"/>
          <w:szCs w:val="22"/>
        </w:rPr>
        <w:t xml:space="preserve"> uwzględnić w projekcie możliwość podniesienia poziomu drogi, ze względu na ukształtowanie terenu rozważyć realizację wjazdu asfaltowego</w:t>
      </w:r>
    </w:p>
    <w:p>
      <w:pPr>
        <w:pStyle w:val="Normal"/>
        <w:rPr>
          <w:rFonts w:cs="Arial"/>
        </w:rPr>
      </w:pPr>
      <w:r>
        <w:rPr>
          <w:rFonts w:cs="Arial"/>
        </w:rPr>
        <w:t xml:space="preserve">*- </w:t>
      </w:r>
      <w:r>
        <w:rPr>
          <w:rFonts w:cs="Arial"/>
          <w:sz w:val="22"/>
          <w:szCs w:val="22"/>
        </w:rPr>
        <w:t>fragmenty drogi oznaczone na załączniku graficznym (mapa) Jelcza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ListParagraph"/>
        <w:numPr>
          <w:ilvl w:val="0"/>
          <w:numId w:val="9"/>
        </w:numPr>
        <w:spacing w:lineRule="auto" w:line="360"/>
        <w:rPr>
          <w:rFonts w:cs="Arial"/>
          <w:u w:val="single"/>
        </w:rPr>
      </w:pPr>
      <w:r>
        <w:rPr>
          <w:rFonts w:cs="Arial"/>
          <w:u w:val="single"/>
        </w:rPr>
        <w:t xml:space="preserve">Korekta przebiegu i poprawa parametrów technicznych rowów melioracyjnych - wskazanych w tabelce nr 3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</w:t>
      </w:r>
      <w:r>
        <w:rPr>
          <w:rFonts w:cs="Arial"/>
          <w:b/>
        </w:rPr>
        <w:t>a</w:t>
      </w:r>
      <w:r>
        <w:rPr>
          <w:rFonts w:cs="Arial"/>
        </w:rPr>
        <w:t xml:space="preserve"> nr 3</w:t>
      </w:r>
    </w:p>
    <w:tbl>
      <w:tblPr>
        <w:tblW w:w="8873" w:type="dxa"/>
        <w:jc w:val="left"/>
        <w:tblInd w:w="5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84"/>
        <w:gridCol w:w="1794"/>
        <w:gridCol w:w="4110"/>
        <w:gridCol w:w="1984"/>
      </w:tblGrid>
      <w:tr>
        <w:trPr>
          <w:trHeight w:val="630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Oznaczenie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Długość drogi</w:t>
              <w:br/>
              <w:t>[km]</w:t>
            </w:r>
          </w:p>
        </w:tc>
      </w:tr>
      <w:tr>
        <w:trPr>
          <w:trHeight w:val="85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1341, do 221 do 224, 225/1, 225/2, od 226 do 230, 231/1, 321/2,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232 do 241, 243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0,537</w:t>
            </w:r>
          </w:p>
        </w:tc>
      </w:tr>
      <w:tr>
        <w:trPr>
          <w:trHeight w:val="979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344, 345/1, 343, 361, 360, 380, 379, 378, 391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0,319</w:t>
            </w:r>
          </w:p>
        </w:tc>
      </w:tr>
      <w:tr>
        <w:trPr>
          <w:trHeight w:val="69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od 339 do 344, 345/1, 345/2, od 346 do 352, 1364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0,289</w:t>
            </w:r>
          </w:p>
        </w:tc>
      </w:tr>
      <w:tr>
        <w:trPr>
          <w:trHeight w:val="70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353, od 409 do 413, 416/3, 416/5, 416/1,417, 418, 1365,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0,601</w:t>
            </w:r>
          </w:p>
        </w:tc>
      </w:tr>
      <w:tr>
        <w:trPr>
          <w:trHeight w:val="112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1085, 1088/3, 1087, 1089/1, 1089/2 1089/3, 1089/5, 1090, 1091, 1092, 1093/3, 1094/4, 1094/5, 1096, 1097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0,613</w:t>
            </w:r>
          </w:p>
        </w:tc>
      </w:tr>
      <w:tr>
        <w:trPr>
          <w:trHeight w:val="850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325, 326/6, 326/7, 326/2, 327/1, 327/2, 328/1, 328/4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0,321</w:t>
            </w:r>
          </w:p>
        </w:tc>
      </w:tr>
      <w:tr>
        <w:trPr>
          <w:trHeight w:val="843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1104, 1105/1, 1105/2, 1106, 1107,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479 do 485, 487, 488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0,716</w:t>
            </w:r>
          </w:p>
        </w:tc>
      </w:tr>
      <w:tr>
        <w:trPr>
          <w:trHeight w:val="42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491/3, 491/2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0,239</w:t>
            </w:r>
          </w:p>
        </w:tc>
      </w:tr>
      <w:tr>
        <w:trPr>
          <w:trHeight w:val="42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r9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486, 487, 489, 490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0,162</w:t>
            </w:r>
          </w:p>
        </w:tc>
      </w:tr>
      <w:tr>
        <w:trPr>
          <w:trHeight w:val="663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10.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od 492 do 495, 558, 559/1, 560/1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0,246</w:t>
            </w:r>
          </w:p>
        </w:tc>
      </w:tr>
      <w:tr>
        <w:trPr>
          <w:trHeight w:val="2243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1196/2, 1196/1, 1197, od 1251 do 1262, 1263/1, 1263/2, od 1264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do 1266, od 1270 do 1272, od 1276 do 1278, 1279/1, 1279/2, 1279/3, 1284/2, 1284/1, od 1285 do 1292, 1293/1,1294, 1295/1, 1295/4, 1295/5, 1295/3,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1296 do 1300, 1301/1, 1301/2, od 1302 do 1317, 1318/1, 1318/2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0,878</w:t>
            </w:r>
          </w:p>
        </w:tc>
      </w:tr>
      <w:tr>
        <w:trPr>
          <w:trHeight w:val="42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1262, 1263/1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0,048</w:t>
            </w:r>
          </w:p>
        </w:tc>
      </w:tr>
      <w:tr>
        <w:trPr>
          <w:trHeight w:val="673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1263/2,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1264 do 1268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0,290</w:t>
            </w:r>
          </w:p>
        </w:tc>
      </w:tr>
      <w:tr>
        <w:trPr>
          <w:trHeight w:val="42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1314, 1315, 1316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0,127</w:t>
            </w:r>
          </w:p>
        </w:tc>
      </w:tr>
      <w:tr>
        <w:trPr>
          <w:trHeight w:val="421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1317, 1318/1, 1325, 1326/1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0,099</w:t>
            </w:r>
          </w:p>
        </w:tc>
      </w:tr>
      <w:tr>
        <w:trPr>
          <w:trHeight w:val="397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u w:val="singl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u w:val="single"/>
                <w:lang w:eastAsia="pl-PL"/>
              </w:rPr>
              <w:t>5,485</w:t>
            </w:r>
          </w:p>
        </w:tc>
      </w:tr>
    </w:tbl>
    <w:p>
      <w:pPr>
        <w:pStyle w:val="Normal"/>
        <w:jc w:val="righ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  <w:u w:val="single"/>
        </w:rPr>
        <w:t>Budowa i przebudowa przepustów - wskazanych w tabelce nr 4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4</w:t>
      </w:r>
    </w:p>
    <w:tbl>
      <w:tblPr>
        <w:tblW w:w="8447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93"/>
        <w:gridCol w:w="3683"/>
        <w:gridCol w:w="3971"/>
      </w:tblGrid>
      <w:tr>
        <w:trPr>
          <w:trHeight w:val="509" w:hRule="atLeast"/>
        </w:trPr>
        <w:tc>
          <w:tcPr>
            <w:tcW w:w="8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BUDOWA I PRZEBUDOWA PRZEPUSTÓW</w:t>
            </w:r>
          </w:p>
        </w:tc>
      </w:tr>
      <w:tr>
        <w:trPr>
          <w:trHeight w:val="433" w:hRule="atLeast"/>
        </w:trPr>
        <w:tc>
          <w:tcPr>
            <w:tcW w:w="8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4.1 BUDOWA NOWYCH PRZEPUSTÓW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Ilość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491/3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488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415/2, 424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415/3, 420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233, 234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235, 236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237, 238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239, 240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1.9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979, 1387, 992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1.10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360, 379, 380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  <w:bookmarkStart w:id="1" w:name="_GoBack"/>
            <w:bookmarkEnd w:id="1"/>
          </w:p>
        </w:tc>
      </w:tr>
      <w:tr>
        <w:trPr>
          <w:trHeight w:val="33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10</w:t>
            </w:r>
          </w:p>
        </w:tc>
      </w:tr>
    </w:tbl>
    <w:p>
      <w:pPr>
        <w:pStyle w:val="Normal"/>
        <w:rPr/>
      </w:pPr>
      <w:r>
        <w:rPr/>
      </w:r>
    </w:p>
    <w:tbl>
      <w:tblPr>
        <w:tblW w:w="8447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93"/>
        <w:gridCol w:w="3683"/>
        <w:gridCol w:w="3971"/>
      </w:tblGrid>
      <w:tr>
        <w:trPr>
          <w:trHeight w:val="433" w:hRule="atLeast"/>
        </w:trPr>
        <w:tc>
          <w:tcPr>
            <w:tcW w:w="8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4.2 PRZEBUDOWA ISTNIEJĄCYCH PRZEPUSTÓW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Ilość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492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487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412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352, 353, 1364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1354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241, 1354, 345/1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391,1364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325, 1365, 1097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8</w:t>
            </w:r>
          </w:p>
        </w:tc>
      </w:tr>
    </w:tbl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  <w:u w:val="single"/>
        </w:rPr>
        <w:t>Prace rekultywacyjne - wskazanych w tabelce nr 5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5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</w:r>
    </w:p>
    <w:tbl>
      <w:tblPr>
        <w:tblW w:w="907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536"/>
        <w:gridCol w:w="4535"/>
      </w:tblGrid>
      <w:tr>
        <w:trPr>
          <w:trHeight w:val="715" w:hRule="atLeast"/>
        </w:trPr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PRACE  REKULTYWACYJNE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Powierzchnia [ha]</w:t>
            </w:r>
          </w:p>
        </w:tc>
      </w:tr>
      <w:tr>
        <w:trPr>
          <w:trHeight w:val="443" w:hRule="atLeast"/>
        </w:trPr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eastAsia="Times New Roman" w:cs="Arial"/>
                <w:b/>
                <w:bCs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Cs/>
                <w:lang w:eastAsia="pl-PL"/>
              </w:rPr>
              <w:t>1. Rekultywacja terenu w związku z warunkami objęcia w posiadanie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bCs/>
                <w:iCs/>
                <w:lang w:eastAsia="pl-PL"/>
              </w:rPr>
              <w:t>a)</w:t>
            </w:r>
            <w:r>
              <w:rPr>
                <w:rFonts w:eastAsia="Times New Roman" w:cs="Arial"/>
                <w:b/>
                <w:bCs/>
                <w:iCs/>
                <w:lang w:eastAsia="pl-PL"/>
              </w:rPr>
              <w:t xml:space="preserve"> </w:t>
            </w:r>
            <w:r>
              <w:rPr>
                <w:rFonts w:eastAsia="Times New Roman" w:cs="Arial"/>
                <w:bCs/>
                <w:iCs/>
                <w:lang w:eastAsia="pl-PL"/>
              </w:rPr>
              <w:t>Wycięcie drzew i zakrzaczeń, wyciągnięcie karpin, wyrównanie terenu, zaoranie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0,57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iCs/>
                <w:lang w:eastAsia="pl-PL"/>
              </w:rPr>
              <w:t>b) Utwardzenie i poszerzenie pobocza dróg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0,35</w:t>
            </w:r>
          </w:p>
        </w:tc>
      </w:tr>
      <w:tr>
        <w:trPr>
          <w:trHeight w:val="350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c) Poszerzenie pobocza dróg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0,87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lang w:eastAsia="pl-PL"/>
              </w:rPr>
              <w:t>Razem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u w:val="single"/>
                <w:lang w:eastAsia="pl-PL"/>
              </w:rPr>
              <w:t>1,79</w:t>
            </w:r>
          </w:p>
        </w:tc>
      </w:tr>
      <w:tr>
        <w:trPr/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9" w:leader="none"/>
              </w:tabs>
              <w:jc w:val="both"/>
              <w:rPr>
                <w:rFonts w:eastAsia="Times New Roman" w:cs="Arial"/>
                <w:b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ab/>
            </w:r>
            <w:r>
              <w:rPr>
                <w:rFonts w:eastAsia="Times New Roman" w:cs="Arial"/>
                <w:b/>
                <w:lang w:eastAsia="pl-PL"/>
              </w:rPr>
              <w:t>2. Rekultywacja terenu po zlikwidowanych miedzach</w:t>
            </w:r>
          </w:p>
        </w:tc>
      </w:tr>
      <w:tr>
        <w:trPr>
          <w:trHeight w:val="203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lang w:eastAsia="pl-PL"/>
              </w:rPr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2,26</w:t>
            </w:r>
          </w:p>
        </w:tc>
      </w:tr>
      <w:tr>
        <w:trPr/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Arial"/>
                <w:b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3. Rekultywacja terenu w związku z likwidowanymi drogami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lang w:eastAsia="pl-PL"/>
              </w:rPr>
              <w:t>1340, 1390, 1348, 980/2, cześć 1399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0,08</w:t>
            </w:r>
          </w:p>
        </w:tc>
      </w:tr>
      <w:tr>
        <w:trPr/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Arial"/>
                <w:b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4. Rekultywacja terenu w związku z likwidacją rowu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lang w:eastAsia="pl-PL"/>
              </w:rPr>
              <w:t>488, 491/3, 492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0,04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rFonts w:eastAsia="Times New Roman" w:cs="Arial"/>
                <w:b/>
                <w:lang w:eastAsia="pl-PL"/>
              </w:rPr>
              <w:t>2,95</w:t>
            </w:r>
          </w:p>
        </w:tc>
      </w:tr>
    </w:tbl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  <w:u w:val="single"/>
        </w:rPr>
      </w:pPr>
      <w:r>
        <w:rPr>
          <w:rFonts w:cs="Arial"/>
          <w:u w:val="single"/>
        </w:rPr>
      </w:r>
    </w:p>
    <w:p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  <w:u w:val="single"/>
        </w:rPr>
        <w:t>Planowana długość zadrzewień - wskazanych w tabelce nr 6</w:t>
      </w:r>
    </w:p>
    <w:p>
      <w:pPr>
        <w:pStyle w:val="Normal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</w:t>
      </w:r>
      <w:r>
        <w:rPr>
          <w:rFonts w:cs="Arial"/>
        </w:rPr>
        <w:t>Tabela nr 6</w:t>
      </w:r>
    </w:p>
    <w:p>
      <w:pPr>
        <w:pStyle w:val="Normal"/>
        <w:rPr>
          <w:rFonts w:cs="Arial"/>
        </w:rPr>
      </w:pPr>
      <w:r>
        <w:rPr>
          <w:rFonts w:cs="Arial"/>
        </w:rPr>
      </w:r>
    </w:p>
    <w:tbl>
      <w:tblPr>
        <w:tblW w:w="907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536"/>
        <w:gridCol w:w="4535"/>
      </w:tblGrid>
      <w:tr>
        <w:trPr/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6. PLANOWANE ZADRZEWIENIE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Długość [km]</w:t>
            </w:r>
          </w:p>
        </w:tc>
      </w:tr>
      <w:tr>
        <w:trPr>
          <w:trHeight w:val="667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312, 838, 837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FF0000"/>
              </w:rPr>
            </w:pPr>
            <w:r>
              <w:rPr>
                <w:rFonts w:eastAsia="Times New Roman" w:cs="Arial"/>
                <w:lang w:eastAsia="pl-PL"/>
              </w:rPr>
              <w:t>0,300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0,300</w:t>
            </w:r>
          </w:p>
        </w:tc>
      </w:tr>
    </w:tbl>
    <w:p>
      <w:pPr>
        <w:pStyle w:val="Normal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  <w:bCs/>
        </w:rPr>
        <w:t>I. Zamówienie obejmuje :</w:t>
      </w:r>
    </w:p>
    <w:p>
      <w:pPr>
        <w:pStyle w:val="Normal"/>
        <w:spacing w:lineRule="auto" w:line="360"/>
        <w:jc w:val="both"/>
        <w:rPr>
          <w:b/>
          <w:bCs/>
        </w:rPr>
      </w:pPr>
      <w:r>
        <w:rPr>
          <w:rFonts w:cs="Arial"/>
          <w:b/>
          <w:bCs/>
        </w:rPr>
        <w:t xml:space="preserve">ETAP 1 – PROJEKTOWANIE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1. Opracowanie  dokumentacji projektowej wraz z uzyskaniem branżowych opinii, uzgodnień i decyzji administracyjnych umożliwiających przystąpienie do wykonania prac objętych projektem. </w:t>
      </w:r>
    </w:p>
    <w:p>
      <w:pPr>
        <w:pStyle w:val="Normal"/>
        <w:spacing w:lineRule="auto" w:line="360"/>
        <w:jc w:val="both"/>
        <w:rPr>
          <w:u w:val="single"/>
        </w:rPr>
      </w:pPr>
      <w:r>
        <w:rPr>
          <w:rFonts w:cs="Arial"/>
          <w:u w:val="single"/>
        </w:rPr>
        <w:t>W zakres prac projektowych wchodzi między innymi :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>a) przedstawienie wstępnej koncepcji projektowej opracowanej na podstawie  poscaleniowego zagospodarowania terenu (załącznik do SWZ),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>b) pozyskanie wymaganych prawem decyzji i opinii (w tym decyzji wodno-prawnej, decyzji zwalniającej z zakazów, o których mowa art.176 Ustawy–Prawo Wodne -</w:t>
      </w:r>
      <w:r>
        <w:rPr>
          <w:rFonts w:cs="Arial"/>
          <w:i/>
          <w:iCs/>
        </w:rPr>
        <w:t>jeżeli dotyczy</w:t>
      </w:r>
      <w:r>
        <w:rPr>
          <w:rFonts w:cs="Arial"/>
        </w:rPr>
        <w:t xml:space="preserve">), 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>c) uzyskanie uzgodnień oraz decyzji administracyjnych, odstępstw niezbędnych do zatwierdzenia dokumentacji oraz przystąpienia do realizacji robót (</w:t>
      </w:r>
      <w:r>
        <w:rPr>
          <w:rFonts w:cs="Arial"/>
          <w:i/>
          <w:iCs/>
        </w:rPr>
        <w:t xml:space="preserve">jeżeli jest wymagane) </w:t>
      </w:r>
      <w:r>
        <w:rPr>
          <w:rFonts w:cs="Arial"/>
        </w:rPr>
        <w:t>.</w:t>
      </w:r>
    </w:p>
    <w:p>
      <w:pPr>
        <w:pStyle w:val="Normal"/>
        <w:spacing w:lineRule="auto" w:line="360"/>
        <w:ind w:hanging="284" w:left="284"/>
        <w:rPr/>
      </w:pPr>
      <w:r>
        <w:rPr>
          <w:rFonts w:cs="Arial"/>
        </w:rPr>
        <w:t>d) pozyskanie prawomocnej decyzji pozwolenia na budowę lub w zakresie robót niewymagających decyzji pozwolenia na budowę (w oparciu o wykonaną dokumentację) - dokonanie skutecznego zgłoszenia robót budowlanych,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 xml:space="preserve">e) opracowanie dokumentacji projektowej zgodnie z Rozporządzeniem  Ministra infrastruktury  z dnia 2 września  2004 w sprawie  szczegółowego zakresu i formy dokumentacji projektowej, specyfikacji technicznych  wykonania i odbioru robót budowlanych </w:t>
      </w:r>
      <w:r>
        <w:rPr>
          <w:rFonts w:cs="Arial"/>
          <w:u w:val="single"/>
        </w:rPr>
        <w:t xml:space="preserve">dla dróg wewnętrznych gminnych ( dojazdowych do pól)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Wszystkie przedsięwzięcia przewidziane do realizacji w ramach scalenia gruntów                         i zagospodarowania poscaleniowego nie naruszają ustaleń Miejscowego Plan Zagospodarowania Przestrzennego Gminy Charsznica, (Uchwała Nr XXXII/168/2005 Rady Gminy w Charsznicy z dnia 10.11.2005 r. w sprawie miejscowego planu zagospodarowania przestrzennego dla obszaru Gminy Charsznica), zmienionego Uchwałą nr IX/ 58 / 2007 Rady Gminy Charsznica z dnia 30 października 2007r.                         w sprawie: uchwalenia zmiany miejscowego planu zagospodarowania przestrzennego Gminy Charsznica w miejscowościach Ciszowice (dz.184), Miechów - Charsznica (dz.390/7), Marcinkowice (dz. 472/2, 471/2), Pogwizdów (dz. 377/1, 377/2, 376), Tczyca (dz. 321, 322, 323, 324, 325), Uchwałą nr XL / 229 / 2010 Rady Gminy Charsznica z dnia 26 sierpnia 2010 r. w sprawie: uchwalenia zmiany miejscowego planu zagospodarowania przestrzennego Gminy Charsznica w części tekstowej i graficznej, Uchwałą Nr XXII/134/2008 Rady Gminy w Charsznicy z dnia 18 grudnia 2008 r. w sprawie uchwalenia zmiany miejscowego planu zagospodarowania przestrzennego Gminy Charsznica, Uchwałą Nr XII/92/2020 Rady Gminy Charsznica z dnia 28 lutego 2020 r. w sprawie uchwalenia zmiany miejscowego planu zagospodarowania przestrzennego Gminy Charsznica w części tekstowej i graficznej. Istotne elementy tego dokumentu planistycznego zostały zawarte na mapie założeń oraz Studium stanu środowiska (załącznik do Karty informacyjnej).   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Przedsięwzięcia spotkały się z wysoką akceptacją władz gminy oraz mieszkańców biorących udział w konsultacjach społecznych.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>2. Założenia wyjściowe do projektowania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numPr>
          <w:ilvl w:val="0"/>
          <w:numId w:val="10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Dokumentacja projektowa i kosztorysowa winna być podzielona na część wymagającą pozwolenia na budowę oraz na część do zgłoszenia robót niewymagających pozwolenia. </w:t>
      </w:r>
    </w:p>
    <w:p>
      <w:pPr>
        <w:pStyle w:val="Normal"/>
        <w:numPr>
          <w:ilvl w:val="0"/>
          <w:numId w:val="10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Dokumentacja projektowa ma umożliwić uzyskanie pozwolenia na budowę / zgłoszenie robót budowlanych oraz ich wykonanie  przez Wykonawcę. </w:t>
      </w:r>
    </w:p>
    <w:p>
      <w:pPr>
        <w:pStyle w:val="Normal"/>
        <w:numPr>
          <w:ilvl w:val="0"/>
          <w:numId w:val="10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Dokumentację projektową należy tak wykonać, aby parametry dróg i obiektów inżynierskich umożliwiały prawidłowe użytkowanie gruntów rolnych. Drogi objęte dokumentacją winny umożliwiać dojazdy do działek przyległych.</w:t>
      </w:r>
    </w:p>
    <w:p>
      <w:pPr>
        <w:pStyle w:val="Normal"/>
        <w:numPr>
          <w:ilvl w:val="0"/>
          <w:numId w:val="10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Parametry techniczne projektowych dróg należy dostosować                                   do wyznaczonego pasa drogowego.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u w:val="single"/>
        </w:rPr>
      </w:pPr>
      <w:r>
        <w:rPr>
          <w:rFonts w:cs="Arial"/>
          <w:u w:val="single"/>
          <w:lang w:eastAsia="pl-PL"/>
        </w:rPr>
        <w:t>2.1  Przed wykonaniem dokumentacji Projektant opracuje koncepcję, w której określi podstawowe rozwiązania projektowe oraz ich charakterystykę techniczną, którą przedstawi zamawiającemu do akceptacji .</w:t>
      </w:r>
    </w:p>
    <w:p>
      <w:pPr>
        <w:pStyle w:val="Normal"/>
        <w:jc w:val="both"/>
        <w:rPr>
          <w:u w:val="single"/>
        </w:rPr>
      </w:pPr>
      <w:r>
        <w:rPr>
          <w:rFonts w:cs="Arial"/>
          <w:u w:val="single"/>
          <w:lang w:eastAsia="pl-PL"/>
        </w:rPr>
        <w:t>Zatwierdzenie koncepcji stanowi warunek konieczny do przystąpienia do realizacji dalszych prac.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b/>
          <w:bCs/>
        </w:rPr>
      </w:pPr>
      <w:r>
        <w:rPr>
          <w:rFonts w:cs="Arial"/>
          <w:b/>
          <w:bCs/>
          <w:lang w:eastAsia="pl-PL"/>
        </w:rPr>
        <w:t xml:space="preserve">ETAP II  REALIZACJA ROBÓT BUDOWLANYCH </w:t>
      </w:r>
    </w:p>
    <w:p>
      <w:pPr>
        <w:pStyle w:val="Normal"/>
        <w:jc w:val="both"/>
        <w:rPr/>
      </w:pPr>
      <w:r>
        <w:rPr>
          <w:rFonts w:cs="Arial"/>
          <w:lang w:eastAsia="pl-PL"/>
        </w:rPr>
        <w:t xml:space="preserve">1. Wykonanie robót budowlanych w oparciu o uzyskane przez Wykonawcę pozwolenia na budowę oraz zgłoszenia robót niewymagających pozwolenia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Opis stanu istniejącego  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Na obszarze objętym przedsięwzięciem  występuje: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Infrastruktura obca: sieć wodociągowa i kanalizacja sanitarna, światłowodowa sieć teletechniczna.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Drogi  gminne i dojazdowe do pól w większości o nawierzchni bitumicznej, średni stan techniczny.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Ukształtowanie terenu – głównie pagórkowaty, przechodzący w płaski,  rowy melioracyjne. Teren zabudowany i niezabudowany.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Zieleń : pola uprawne i nieużytki</w:t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  <w:b/>
        </w:rPr>
        <w:t xml:space="preserve">3.  Wymagania Zamawiającego w stosunku do przedmiotu zamówienia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 xml:space="preserve">3.1  Wymagania ogólne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ab/>
        <w:t xml:space="preserve">Wykonawca składający ofertę winien uwzględnić w swojej cenie ryczałtowej również zaprojektowanie  dodatkowych elementów budowlanych, instalacji, wyposażenia i prac, które nie zostały wyszczególnione w Wymaganiach Zamawiającego, lecz są niezbędne do prawidłowego wykonania zadania, w celu osiągnięcia zamierzenia inwestycyjnego – zagospodarowania poscaleniowego.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Lokalizację budowanych, przebudowywanych i przewidzianych do konserwacji przepustów ( o których mowa w tabeli 4.2) , ich średnice i długości przewodów należy określić na etapie projektowania.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ab/>
        <w:t xml:space="preserve">Zamawiający powoła Inspektora Nadzoru, który będzie prowadził administracje kontraktu i poświadczał płatności wg ryczałtu dla wydzielonych zadań.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Wykonawca podczas robót budowlanych musi liczyć się z możliwością wystąpienia konieczności wybudowania dróg technologicznych podczas prowadzonych robót. Dodatkowo może zaistnieć potrzeba pompowania wody z wykopów przed przystąpieniem do robót budowlanych.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Roboty prowadzić zgodnie z wymogami normy PN-S-02205. Wykopy fundamentowe należy wykonywać w porze suchej i chronić przed napływem wód gruntowych                       i opadowych.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 przypadku gruntów słabonośnych  oraz organicznych, należy zaprojektować wymianę  lub  wzmocnienie podłoża  z podaniem rozwiązania w dokumentacji projektowej.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3.2  Cele inwestycji.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Tworzenie korzystnych warunków gospodarowania poprzez poprawę struktury obszarowej gospodarstw rolnych oraz racjonalne ukształtowania rozłogów gruntów,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wydzielenie i zapewnienie niezbędnej infrastruktury drogowej w kompleksach gruntów rolnych i leśnych,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wydzielenie niezbędnych gruntów w planowanym obszarze scalenia przeznaczonych na cele infrastruktury społecznej i technicznej nie będzie wymagało procedury wywłaszczeniowej,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wytyczenie i urządzenia funkcjonalnej sieci dróg dojazdowych do gruntów rolnych i leśnych dostosowanej do współcześnie stosowanych maszyn rolniczych,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zapewnienie każdej poscaleniowej działce dostępu do drogi,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wybudowanie nowych dróg transportu rolnego, modernizacji i polepszeniu parametrów dróg istniejących oraz właściwe ich powiązanie z siecią dróg publicznych,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bieżące czynności konserwacyjne rowów melioracyjnych,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tworzenie warunków przestrzennych dla procesu zwiększania lesistości kraju. </w:t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Ogólne właściwości funkcjonalno-użytkowe: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ab/>
        <w:t>Przewidywany zakres prac ma w sposób zdecydowany poprawić warunki gospodarowania w wyniku poprawy dostępu do pól i możliwości dojazdu współczesnych maszyn rolniczych  W wyniku modernizacji i budowy dróg dojazdowych do pól zwiększy się bezpieczeństwo w ruchu poprzez ograniczenie  przejazdów maszyn rolniczych na drogach publicznych. Zmiana kształtu działek oraz poprawa dostępu do nich zwiększy efektywność gospodarowania oraz zmniejszy uciążliwości.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Wydzielenie pasów drogowych pozwoli w przyszłości na prowadzenie w nich  urządzeń infrastruktury koniecznej do obsługi przyległego terenu.</w:t>
      </w:r>
    </w:p>
    <w:p>
      <w:pPr>
        <w:pStyle w:val="Normal"/>
        <w:spacing w:lineRule="auto" w:line="360"/>
        <w:jc w:val="both"/>
        <w:rPr>
          <w:rFonts w:cs="Arial"/>
          <w:kern w:val="2"/>
          <w:lang w:bidi="hi-IN"/>
        </w:rPr>
      </w:pPr>
      <w:r>
        <w:rPr>
          <w:rFonts w:cs="Arial"/>
          <w:kern w:val="2"/>
          <w:lang w:bidi="hi-IN"/>
        </w:rPr>
        <w:tab/>
        <w:t>W ramach realizacji zagospodarowania poscaleniowego, powstanie funkcjonalna sieć dróg dojazdowych do gruntów rolnych i  leśnych oraz zostaną wykonane zadania wpływające na poprawę stosunków wodnych na obszarze objętym scalaniem. Operacje realizowane w ramach tego działania przyczynią się do zachowania lub poprawy walorów przyrodniczo – krajobrazowych oraz poprawy stosunków wodnych w zakresie retencji wodnej.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  <w:u w:val="single"/>
        </w:rPr>
      </w:pPr>
      <w:r>
        <w:rPr>
          <w:rFonts w:cs="Arial"/>
          <w:b/>
          <w:bCs/>
          <w:kern w:val="2"/>
          <w:u w:val="single"/>
          <w:lang w:bidi="hi-IN"/>
        </w:rPr>
        <w:t>Główne cele scalania gruntów: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poprawa struktury obszarowej gospodarstw rolnych i gruntów leśnych poprzez wykonanie prac scaleniowych,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uporządkowanie sieci dróg transportu drogowego,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poprawa stosunków wodnych,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poprawa walorów krajobrazu rolniczego na obszarze objętym scalaniem.</w:t>
      </w:r>
    </w:p>
    <w:p>
      <w:pPr>
        <w:pStyle w:val="Normal"/>
        <w:numPr>
          <w:ilvl w:val="0"/>
          <w:numId w:val="5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zapewnieniem co najmniej jednostronnego dojazdu do działek,</w:t>
      </w:r>
    </w:p>
    <w:p>
      <w:pPr>
        <w:pStyle w:val="Normal"/>
        <w:numPr>
          <w:ilvl w:val="0"/>
          <w:numId w:val="5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zmianą układu sieci dróg transportu rolnego.</w:t>
      </w:r>
    </w:p>
    <w:p>
      <w:pPr>
        <w:pStyle w:val="Normal"/>
        <w:spacing w:lineRule="auto" w:line="360"/>
        <w:ind w:left="72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 xml:space="preserve">Cel – </w:t>
      </w:r>
      <w:r>
        <w:rPr>
          <w:rFonts w:cs="Arial"/>
          <w:b/>
          <w:bCs/>
          <w:kern w:val="2"/>
          <w:lang w:bidi="hi-IN"/>
        </w:rPr>
        <w:t>poprawa stosunków wodnych</w:t>
      </w:r>
      <w:r>
        <w:rPr>
          <w:rFonts w:cs="Arial"/>
          <w:kern w:val="2"/>
          <w:lang w:bidi="hi-IN"/>
        </w:rPr>
        <w:t xml:space="preserve"> zrealizowany może zostać poprzez następujące zadania: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 xml:space="preserve">rozwiązanie problemów z gospodarką wodną poprzez poprawę parametrów technicznych urządzeń melioracyjnych i urządzeń odwodnieniowych, 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poprawę stosunków wodnych w zakresie małej retencji.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 xml:space="preserve">Cel – </w:t>
      </w:r>
      <w:r>
        <w:rPr>
          <w:rFonts w:cs="Arial"/>
          <w:b/>
          <w:bCs/>
          <w:kern w:val="2"/>
          <w:lang w:bidi="hi-IN"/>
        </w:rPr>
        <w:t>poprawa walorów krajobrazu rolniczego na obszarze objętym scaleniem</w:t>
      </w:r>
      <w:r>
        <w:rPr>
          <w:rFonts w:cs="Arial"/>
          <w:kern w:val="2"/>
          <w:lang w:bidi="hi-IN"/>
        </w:rPr>
        <w:t xml:space="preserve"> zrealizowany może zostać poprzez następujące zadania|: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rekultywacje gruntów,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kształtowanie krajobrazu oraz ochronę przyrody,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tworzenie warunków przestrzennych dla procesu zwiększenia lesistości kraju – kształtowanie granicy rolno – leśnej,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propozycję układu korytarzy i ciągów ekologicznych.</w:t>
      </w:r>
    </w:p>
    <w:p>
      <w:pPr>
        <w:pStyle w:val="Normal"/>
        <w:spacing w:lineRule="auto" w:line="360"/>
        <w:jc w:val="both"/>
        <w:rPr>
          <w:rFonts w:cs="Arial"/>
          <w:kern w:val="2"/>
          <w:lang w:bidi="hi-IN"/>
        </w:rPr>
      </w:pPr>
      <w:r>
        <w:rPr>
          <w:rFonts w:cs="Arial"/>
          <w:kern w:val="2"/>
          <w:lang w:bidi="hi-IN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Ponadto, w wyniku przeprowadzenia scalenia gruntów we wsi Jelcza nastąpi poprawa walorów krajobrazowych poprzez: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poprawę parametrów technicznych istniejącej sieci rowów melioracyjnych i odwodnieniowych, przywrócona zostanie ich właściwa funkcja i odwróci to proces powstania lokalnych podtopień terenu,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zachowanie dotychczasowego kierunku działek, co nie spowoduje zakłóceń w grawitacyjnym spływie wód,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maksymalne wykorzystanie istniejących dróg, co ograniczy przeznaczenie gruntów rolnych, o wysokiej bonitacji na nowe drogi dojazdowe. W chwili obecnej ruch maszyn często prowadzony jest „na dziko”, co dla zachowania walorów przyrodniczych nie jest wskazane,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zachowanie dotychczasowego układu działek i dróg dojazdowych w terenach budowlanych, co eliminuje w praktyce wycinkę drzew przydomowych, eliminując potrzebę częściowej przebudowy istniejącej infrastruktury technicznej,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utrzymanie w dotychczasowym stanie użytkowania działek zadrzewionych z zachowaniem istniejących ekosystemów (utrzymanie istniejących miedz i zadrzewień śródpolnych),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wykonanie odwodnienia dróg transportu rolnego,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wprowadzenie zadrzewień wzdłuż dróg transportu rolnego, spełniających rolę fitomelioracyjną i wzbogacających krajobraz.</w:t>
      </w:r>
    </w:p>
    <w:p>
      <w:pPr>
        <w:pStyle w:val="Normal"/>
        <w:spacing w:lineRule="auto" w:line="360"/>
        <w:ind w:left="360"/>
        <w:jc w:val="both"/>
        <w:rPr>
          <w:rFonts w:cs="Arial"/>
        </w:rPr>
      </w:pPr>
      <w:r>
        <w:rPr>
          <w:kern w:val="2"/>
          <w:lang w:bidi="hi-IN"/>
        </w:rPr>
        <w:t>Dodać należy, że ww. przedsięwzięcia wpływają pozytywnie na środowisko.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Planowany zabieg urządzeniowo – rolny, jakim jest scalenie gruntów wsi Jelcza, przewiduje realizację następujących przedsięwzięć, które wpływają pozytywnie na środowisko, poprawę warunków przyrodniczych, warunków gospodarowania                             w rolnictwie oraz na poprawę walorów krajobrazowych poprzez: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Uporządkowanie krajobrazu rolniczego poprzez poprawę stanu dróg, przywrócona zostanie ich właściwa funkcja i odwróci to proces powstania lokalnych podtopień terenu oraz powstrzyma postępującą w ostatnich latach sukcesję drzew i krzewów. Dzięki temu walory krajobrazu nie zostaną zatarte w wyniku zadrzewienia                                       i zakrzewienia. Przedsięwzięcie będzie pozytywne dla krajobrazu zarówno krótko- jak i długoterminowo.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Zmianę parametrów technicznych istniejącej sieci rowów melioracyjnych, przywrócona zostanie ich właściwa funkcja na terenach podmokłych i odwróci to proces powstania lokalnych podtopień terenu,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Poprawę systemu dróg dojazdowych do gruntów rolnych i leśnych oraz dojazdów do zabudowań gospodarczych, która w sposób istotny wpłynie na przeciwdziałanie procesom zarastania łąk,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Przebudowę dróg istniejących, co zmniejszy ilość i częstotliwość przejazdów ciągników rolniczych,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Wyznaczenie terenów pod mikrozbiorniki retencyjne oraz ich urządzenie                                     w przyszłości poprawi bezpieczeństwo powodziowe, umożliwi wykorzystanie nagromadzonej wody w okresach suszy oraz spowoduje odwodnienie zalewanych terenów uprawowych,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Maksymalne wykorzystanie istniejących dróg, co ograniczy przeznaczenie gruntów rolnych o wysokiej bonitacji, na nowe drogi dojazdowe,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Zachowanie dotychczasowego układu działek i dróg dojazdowych w terenach budowlanych. Eliminuje to w praktyce wycinkę drzew przydomowych, eliminuje potrzebę częściowej przebudowy istniejącej infrastruktury technicznej,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Utrzymanie istniejących miedz i zadrzewień śródpolnych,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Wykonanie odwodnienia części dróg dojazdowych do gruntów rolnych i leśnych oraz  dojazdów do zabudowań gospodarczych,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Uporządkowanie krajobrazu rolniczego poprzez poprawę stanu dróg i rowów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melioracyjnych,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Nasadzenie szpalerów drzew o długości 300 m wokół mikrozbiorników retencyjnych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wpłynie na poprawę walorów estetycznych terenów przyległych,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Kształtowanie nowego porządku gruntowego sprzyjającego zachowaniu korytarzy                    i ciągów ekologicznych,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Utrzymanie w dotychczasowym stanie użytkowania działek zadrzewionych                                 z zachowaniem istniejących naturalnych ekosystemów (utrzymanie istniejących miedz i zadrzewień śródpolnych).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 wyniku przeprowadzenia scalenia gruntów we wsi Jelcza nastąpi poprawa stosunków wodnych w zakresie małej retencji poprzez zaprojektowanie i urządzenie w ramach zagospodarowania poscaleniowego 4 mikrozbiorników retencyjnych.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Dane określające procentowy udział liczby właścicieli gospodarstw rolnych położonych na projektowanym obszarze scalenia, którzy złożyli wniosek                              o przeprowadzenie postępowania scaleniowego, w stosunku do ogólnej liczby właścicieli gospodarstw rolnych objętych postępowaniem scaleniowym oraz procentowego udziału powierzchni gruntów położonych na projektowanym obszarze scalenia, których właściciele złożyli wniosek o przeprowadzenie postępowania scaleniowego, w  stosunku do ogólnej powierzchni gruntów objętych postępowaniem scaleniowym zostały przekazane do KBGiTR przez Starostwo Powiatowe                             w Miechowie w formie oświadczenia Starosty, stanowiącego załącznik do niniejszych założeń.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Zgodnie z powyższym oświadczeniem, wnioski o przeprowadzenie postępowania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scaleniowego złożyli właściciele 126 gospodarstw rolnych, natomiast powierzchnia gruntów, których właściciele złożyli wnioski o przeprowadzenie scalenia wynosi 499.7926 ha.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 związku z powyższym, procentowy udział powierzchni gruntów położonych na projektowanym obszarze scalenia, których właściciele złożyli wniosek o przeprowadzenie postępowania scaleniowego, w stosunku do ogólnej powierzchni gruntów objętych postępowaniem scaleniowym wynosi 60.38%, natomiast procentowy udział liczby właścicieli gospodarstw rolnych położonych na projektowanym obszarze scalenia, którzy złożyli wniosek o przeprowadzenie postępowania scaleniowego,   w stosunku do ogólnej liczby właścicieli gospodarstw rolnych objętych postępowaniem scaleniowym wynosi 49.03%. 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/>
      </w:pPr>
      <w:r>
        <w:rPr>
          <w:rFonts w:cs="Arial"/>
          <w:b/>
          <w:bCs/>
          <w:lang w:eastAsia="pl-PL"/>
        </w:rPr>
        <w:t>3.3  Parametry projektowanych dróg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 xml:space="preserve">1. Nowo budowane drogi winny być projektowane jako drogi wewnętrzne, gminne                   w granicach działek poscaleniowych z dostosowaniem do istniejących warunków terenowych. 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>2. Przebudowywane drogi dojazdowe do pól  winny mieć szerokość jezdni od 3,0 do 4,5 m, a szerokość pasa drogowego (pas zajętości działki ewidencyjnej)  winna odpowiadać warunkom terenowym.</w:t>
      </w:r>
    </w:p>
    <w:p>
      <w:pPr>
        <w:pStyle w:val="Normal"/>
        <w:spacing w:lineRule="auto" w:line="360"/>
        <w:jc w:val="both"/>
        <w:rPr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 xml:space="preserve">3. Pracami rekultywacyjnymi w ramach zagospodarowania poscaleniowego, należy objąć tereny po zlikwidowanych drogach. </w:t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 xml:space="preserve"> </w:t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eastAsia="pl-PL" w:bidi="hi-IN"/>
        </w:rPr>
        <w:t xml:space="preserve">4. Należy wykonać nasadzenia liniowe wzdłuż istniejących i przebudowywanych dróg o łącznej długości 300 m. </w:t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 xml:space="preserve">Drogi należy wykonać w taki sposób aby zapewnić możliwość komunikacji dla celu obsługi terenów rolniczych. </w:t>
      </w:r>
    </w:p>
    <w:p>
      <w:pPr>
        <w:pStyle w:val="Normal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3.4  Droga w planie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Projektowane drogi należy wykonać w granicach działek drogowych  wyznaczonych do tego celu    w wyniku procedury scaleniowej.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3.5  Niweleta drogi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Niwelety projektowanych dróg dostosować do istniejącego terenu.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3.6 Konstrukcja drogi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  <w:t xml:space="preserve">A)  Konstrukcja budowanej drogi wewnętrznej: </w:t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A – budowa drogi o nawierzchni z kruszywa: </w:t>
      </w:r>
    </w:p>
    <w:tbl>
      <w:tblPr>
        <w:tblW w:w="91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80"/>
        <w:gridCol w:w="7801"/>
      </w:tblGrid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stabilizowanego mechanicznie</w:t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podbudowy z gruntu(lub kruszywa) stabilizowanego spoiwem hydraulicznym o wytrzymałości 1,5-2,5MPa</w:t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podłoże gruntowe</w:t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  <w:t xml:space="preserve">B) Konstrukcja przebudowywanej drogi gminnej (publicznej): </w:t>
      </w:r>
    </w:p>
    <w:p>
      <w:pPr>
        <w:pStyle w:val="Normal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B1 – istniejąca droga o nawierzchni bitumicznej: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ścieralna z AC 11S.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istniejącą konstrukcja o nawierzchni bitumicznej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>Konstrukcja B2 – istniejąca droga o nawierzchni z kruszywa :</w:t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stabi. mech.,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podbudowy z gruntu(lub kruszywa) stabilizowanego spoiwem hydraulicznym o wytrzymałości 1,5-2,5MPa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podłoże gruntowe.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lang w:eastAsia="pl-PL"/>
        </w:rPr>
        <w:t xml:space="preserve">C) Konstrukcja przebudowywanej drogi wewnętrznej: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C1 – istniejąca droga o nawierzchni bitumicznej: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ścieralna z AC 11S.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istniejącą konstrukcja o nawierzchni bitumicznej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C2 – istniejąca droga o nawierzchni z kruszywa: </w:t>
      </w:r>
    </w:p>
    <w:tbl>
      <w:tblPr>
        <w:tblW w:w="91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80"/>
        <w:gridCol w:w="7801"/>
      </w:tblGrid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stabilizowanego mechanicznie</w:t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istniejącą konstrukcja o nawierzchni tłuczniowej.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C3 – istniejąca droga o nawierzchni gruntowej: </w:t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stabi. mech.,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podbudowy z gruntu(lub kruszywa) stabilizowanego spoiwem hydraulicznym o wytrzymałości 1,5-2,5MPa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podłoże gruntowe.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trike/>
                <w:shd w:fill="FFFF00" w:val="clear"/>
              </w:rPr>
            </w:pPr>
            <w:r>
              <w:rPr>
                <w:strike/>
                <w:shd w:fill="FFFF00" w:val="clear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trike/>
                <w:shd w:fill="FFFF00" w:val="clear"/>
              </w:rPr>
            </w:pPr>
            <w:r>
              <w:rPr>
                <w:strike/>
                <w:shd w:fill="FFFF00" w:val="clear"/>
              </w:rPr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strike/>
                <w:shd w:fill="FFFF00" w:val="clear"/>
                <w:lang w:eastAsia="pl-PL"/>
              </w:rPr>
            </w:pPr>
            <w:r>
              <w:rPr>
                <w:rFonts w:cs="Arial"/>
                <w:strike/>
                <w:shd w:fill="FFFF00" w:val="clear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strike/>
                <w:shd w:fill="FFFF00" w:val="clear"/>
                <w:lang w:eastAsia="pl-PL"/>
              </w:rPr>
            </w:pPr>
            <w:r>
              <w:rPr>
                <w:rFonts w:cs="Arial"/>
                <w:strike/>
                <w:shd w:fill="FFFF00" w:val="clear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pobocza z kruszywa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iCs/>
          <w:lang w:eastAsia="pl-PL"/>
        </w:rPr>
        <w:t xml:space="preserve">- projektowana konstrukcja pobocza o grubości 10cm: </w:t>
      </w:r>
    </w:p>
    <w:tbl>
      <w:tblPr>
        <w:tblW w:w="90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241"/>
        <w:gridCol w:w="7797"/>
      </w:tblGrid>
      <w:tr>
        <w:trPr>
          <w:trHeight w:val="207" w:hRule="atLeast"/>
        </w:trPr>
        <w:tc>
          <w:tcPr>
            <w:tcW w:w="124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- 10 cm:</w:t>
            </w:r>
          </w:p>
        </w:tc>
        <w:tc>
          <w:tcPr>
            <w:tcW w:w="779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kruszywo łamane 0/31,5mm stabilizowane mechanicznie.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27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Proponowane konstrukcje dróg należy traktować jako przykładowe i należy je zweryfikować po przeprowadzeniu inwentaryzacji stanu nawierzchni i  badań podłoża gruntowego na etapie wykonywania projektu. </w:t>
      </w:r>
    </w:p>
    <w:p>
      <w:pPr>
        <w:pStyle w:val="Normal"/>
        <w:spacing w:lineRule="auto" w:line="276"/>
        <w:jc w:val="both"/>
        <w:rPr>
          <w:rFonts w:cs="Arial"/>
          <w:b w:val="false"/>
          <w:bCs w:val="false"/>
          <w:u w:val="single"/>
          <w:lang w:eastAsia="pl-PL"/>
        </w:rPr>
      </w:pPr>
      <w:r>
        <w:rPr>
          <w:rFonts w:cs="Arial"/>
          <w:b w:val="false"/>
          <w:bCs w:val="false"/>
          <w:u w:val="single"/>
          <w:lang w:eastAsia="pl-PL"/>
        </w:rPr>
        <w:t xml:space="preserve">Zaleca się by Wykonawca przed złożeniem oferty dokonał wizji lokalnej w terenie i na jej podstawie zweryfikował założenia do sporządzonej wyceny prac. 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Konstrukcje należy traktować jako wstępną propozycję. Wykonawca dokona jej weryfikacji na etapie sporządzania dokumentacji projektowej oraz po wykonaniu badań podłoża gruntowego. </w:t>
      </w:r>
    </w:p>
    <w:p>
      <w:pPr>
        <w:pStyle w:val="Normal"/>
        <w:spacing w:lineRule="auto" w:line="27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Na części istniejących dróg występują nawierzchnie asfaltowe, sposób ich modernizacji należy określić w opracowywanej dokumentacji projektowej po wykonaniu badań podłoża gruntowego i ocenie stanu konstrukcji istniejących dróg 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3.7  Przepusty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Średnice oraz kształt projektowanych przepustów ( tabela 4.2) należy określić na etapie sporządzania dokumentacji projektowej po dokonaniu stosowanych obliczeń. Dopuszcza się stosowanie przepustów z tworzyw sztucznych, blach falistej oraz betonowych. Wlot i wylot przepusty należy zabezpieczyć ściankami czołowymi lub umocnić płytami ażurowymi. Odcinki rowów przed i za przepustem należy zabezpieczyć wg. wymogów zarządcy rowy lub cieku.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3.8  Rowy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Należy wykonać rowy przydrożne w celu zapewnienia odpowiedniego odwodnienia dróg. Zakres rowów do wykonania należy określić na etapie sporządzania dokumentacji projektowej. Wykonanie rowów uzależnione jest od dostępności terenu.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Poprawa parametrów technicznych rowów melioracyjnych polegać będzie na wykonaniu czynności konserwacji rowów, odmuleniu dna, odmuleniu przepustów znajdujących się w ciągu rowów. Wykonania w razie konieczności dodatkowych przepustów Efektem przeprowadzonych prac będzie drożny system rowów.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3.9  Projekty organizacji ruchu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>Wykonawca w ramach sporządzanej dokumentacji opracuje projekty organizacji ruchu dla zakresu łączącego się z drogami publicznymi. Projekty należy zatwierdzić                              u odpowiedniego zarządcy drogi.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 xml:space="preserve">3.10  Zieleń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Wykonawca w ramach sporządzanej dokumentacji uzyska zezwolenie na wycinkę kolidujących drzew. Usunięcie drzew będzie obejmowało również usunięcie karpin i wyrównanie terenu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 rejonie budowanych i modernizowanych dróg należy dokonać cięć pielęgnacyjnych gałęzi znajdujących się w skrajni drogowej. </w:t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3.11  Kolizje z infrastrukturą uzbrojenia terenu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Skrzyżowania z istniejącą infrastrukturą należy zabezpieczyć zgodnie wymogami i w uzgodnieniu z gestorem sieci. Wykonawca na etapie wykonywania dokumentacji projektowej dokona niezbędnych uzgodnień, opracuje stosowne projekty branżowe zabezpieczenia lub przebudowy infrastruktury.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3.12  Rekultywacja terenu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>Rekultywacje terenu należy wykonać zgodnie z wymogami zawartymi w decyzji Starosty Miechowskiego o zatwierdzeniu projektu scalenia gruntów.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W pracach rekultywacyjnych przewidzieć należy że zostanie wykonane wycięcie drzew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i zakrzaczeń, wyciągnięcie karpin, zaoranie, wyrównanie terenu poprzez likwidację miedz i bruzd, likwidację miejscowych zagłębień. Powierzchnia przewidzianych do wykonania tych czynności terenów została dokładnie sprecyzowane na etapie okazywania projektu scalenia i formułowania zapisów do decyzji zatwierdzającej projekt scalenia jako warunki objęcia w posiadanie. 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Wykonanie zabiegów rekultywacyjnych w ramach zagospodarowania poscaleniowego to: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- rekultywacja terenu w związku z warunkami objęcia w posiadanie o powierzchni                   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 xml:space="preserve">1,79 ha,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- rekultywacja gruntu po zlikwidowanych miedzach o powierzchni 2,26 ha,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- rekultywacja w związku z likwidowanymi drogami o powierzchni 0,08 ha.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- rekultywacja w związku z likwidacją rowu 0,04 ha.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b/>
        </w:rPr>
      </w:pPr>
      <w:r>
        <w:rPr>
          <w:rFonts w:cs="Arial"/>
          <w:b/>
        </w:rPr>
        <w:t>4. HARMONOGRAM  RZECZOWO FINANSOWY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/>
      </w:pPr>
      <w:r>
        <w:rPr>
          <w:rFonts w:cs="Arial"/>
        </w:rPr>
        <w:t xml:space="preserve">Wybrany Wykonawca przedłoży Zamawiającemu w terminie 3 dni od zawiadomienia o wyborze oferty harmonogram rzeczowo finansowy obejmujący: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/>
      </w:pPr>
      <w:r>
        <w:rPr>
          <w:rFonts w:cs="Arial"/>
        </w:rPr>
        <w:t xml:space="preserve">4.1 Opracowanie dokumentacji technicznej projektowanych elementów wraz z </w:t>
      </w:r>
    </w:p>
    <w:p>
      <w:pPr>
        <w:pStyle w:val="Normal"/>
        <w:jc w:val="both"/>
        <w:rPr/>
      </w:pPr>
      <w:r>
        <w:rPr>
          <w:rFonts w:cs="Arial"/>
        </w:rPr>
        <w:t xml:space="preserve">     </w:t>
      </w:r>
      <w:r>
        <w:rPr>
          <w:rFonts w:cs="Arial"/>
        </w:rPr>
        <w:t xml:space="preserve">pozyskaniem decyzji administracyjnych pozwalających na przystąpienie do </w:t>
      </w:r>
    </w:p>
    <w:p>
      <w:pPr>
        <w:pStyle w:val="Normal"/>
        <w:jc w:val="both"/>
        <w:rPr/>
      </w:pPr>
      <w:r>
        <w:rPr>
          <w:rFonts w:cs="Arial"/>
        </w:rPr>
        <w:t xml:space="preserve">     </w:t>
      </w:r>
      <w:r>
        <w:rPr>
          <w:rFonts w:cs="Arial"/>
        </w:rPr>
        <w:t xml:space="preserve">realizacji robót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hanging="567" w:left="567"/>
        <w:jc w:val="both"/>
        <w:rPr/>
      </w:pPr>
      <w:r>
        <w:rPr>
          <w:rFonts w:cs="Arial"/>
        </w:rPr>
        <w:t>4.2  Sporządzenie koncepcji projektowanych elementów;</w:t>
      </w:r>
    </w:p>
    <w:p>
      <w:pPr>
        <w:pStyle w:val="Normal"/>
        <w:jc w:val="both"/>
        <w:rPr/>
      </w:pPr>
      <w:r>
        <w:rPr>
          <w:rFonts w:cs="Arial"/>
        </w:rPr>
        <w:t>a) budowa nowych dróg</w:t>
      </w:r>
    </w:p>
    <w:p>
      <w:pPr>
        <w:pStyle w:val="Normal"/>
        <w:jc w:val="both"/>
        <w:rPr/>
      </w:pPr>
      <w:r>
        <w:rPr>
          <w:rFonts w:cs="Arial"/>
        </w:rPr>
        <w:t>b) przebudowa istniejących dróg</w:t>
      </w:r>
    </w:p>
    <w:p>
      <w:pPr>
        <w:pStyle w:val="Normal"/>
        <w:jc w:val="both"/>
        <w:rPr/>
      </w:pPr>
      <w:r>
        <w:rPr>
          <w:rFonts w:cs="Arial"/>
        </w:rPr>
        <w:t>c) przełożenie infrastruktury obcej /w razie potrzeby/</w:t>
      </w:r>
    </w:p>
    <w:p>
      <w:pPr>
        <w:pStyle w:val="Normal"/>
        <w:jc w:val="both"/>
        <w:rPr/>
      </w:pPr>
      <w:r>
        <w:rPr>
          <w:rFonts w:cs="Arial"/>
        </w:rPr>
        <w:t>d) budowa i przebudowa przepustów</w:t>
      </w:r>
    </w:p>
    <w:p>
      <w:pPr>
        <w:pStyle w:val="Normal"/>
        <w:jc w:val="both"/>
        <w:rPr/>
      </w:pPr>
      <w:r>
        <w:rPr>
          <w:rFonts w:cs="Arial"/>
        </w:rPr>
        <w:t>e) prace rekultywacyjne ( likwidacja wysokich miedz)</w:t>
      </w:r>
    </w:p>
    <w:p>
      <w:pPr>
        <w:pStyle w:val="Normal"/>
        <w:jc w:val="both"/>
        <w:rPr/>
      </w:pPr>
      <w:r>
        <w:rPr>
          <w:rFonts w:cs="Arial"/>
        </w:rPr>
        <w:t>f)  zadrzewienia</w:t>
      </w:r>
    </w:p>
    <w:p>
      <w:pPr>
        <w:pStyle w:val="Normal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\</w:t>
      </w:r>
    </w:p>
    <w:p>
      <w:pPr>
        <w:pStyle w:val="Normal"/>
        <w:jc w:val="right"/>
        <w:rPr/>
      </w:pPr>
      <w:r>
        <w:rPr/>
        <w:t>Załącznik graficzny do OPZ Jelcza</w:t>
      </w:r>
    </w:p>
    <w:p>
      <w:pPr>
        <w:pStyle w:val="Normal"/>
        <w:jc w:val="right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635" distR="635" simplePos="0" locked="0" layoutInCell="1" allowOverlap="1" relativeHeight="3">
                <wp:simplePos x="0" y="0"/>
                <wp:positionH relativeFrom="column">
                  <wp:posOffset>-1353820</wp:posOffset>
                </wp:positionH>
                <wp:positionV relativeFrom="paragraph">
                  <wp:posOffset>1493520</wp:posOffset>
                </wp:positionV>
                <wp:extent cx="8962390" cy="6141085"/>
                <wp:effectExtent l="0" t="1410335" r="0" b="1410335"/>
                <wp:wrapNone/>
                <wp:docPr id="2" name="Obraz 2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" descr=""/>
                        <pic:cNvPicPr/>
                      </pic:nvPicPr>
                      <pic:blipFill>
                        <a:blip r:embed="rId3"/>
                        <a:srcRect l="0" t="0" r="0" b="3090"/>
                        <a:stretch/>
                      </pic:blipFill>
                      <pic:spPr>
                        <a:xfrm rot="16200000">
                          <a:off x="0" y="0"/>
                          <a:ext cx="8962560" cy="61412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az 2" stroked="f" o:allowincell="f" style="position:absolute;margin-left:-106.6pt;margin-top:117.55pt;width:705.65pt;height:483.5pt;mso-wrap-style:none;v-text-anchor:middle;rotation:270" type="_x0000_t75">
                <v:imagedata r:id="rId4" o:detectmouseclick="t"/>
                <v:stroke color="#3465a4" joinstyle="round" endcap="flat"/>
                <w10:wrap type="none"/>
              </v:shape>
            </w:pict>
          </mc:Fallback>
        </mc:AlternateContent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0" w:top="1135" w:footer="455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69629289"/>
    </w:sdtPr>
    <w:sdtContent>
      <w:p>
        <w:pPr>
          <w:pStyle w:val="Footer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8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Footer"/>
      <w:ind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69629289"/>
    </w:sdtPr>
    <w:sdtContent>
      <w:p>
        <w:pPr>
          <w:pStyle w:val="Footer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8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Footer"/>
      <w:ind w:right="36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upperRoman"/>
      <w:lvlText w:val="%1."/>
      <w:lvlJc w:val="left"/>
      <w:pPr>
        <w:tabs>
          <w:tab w:val="num" w:pos="0"/>
        </w:tabs>
        <w:ind w:left="0" w:hanging="0"/>
      </w:pPr>
      <w:rPr>
        <w:sz w:val="24"/>
        <w:rFonts w:ascii="Arial" w:hAnsi="Arial" w:cs="Times New Roman"/>
      </w:rPr>
    </w:lvl>
    <w:lvl w:ilvl="1">
      <w:start w:val="1"/>
      <w:pStyle w:val="Nagwek21"/>
      <w:numFmt w:val="upperLetter"/>
      <w:lvlText w:val="%2."/>
      <w:lvlJc w:val="left"/>
      <w:pPr>
        <w:tabs>
          <w:tab w:val="num" w:pos="0"/>
        </w:tabs>
        <w:ind w:left="720" w:hanging="0"/>
      </w:pPr>
      <w:rPr>
        <w:rFonts w:cs="Times New Roman"/>
      </w:rPr>
    </w:lvl>
    <w:lvl w:ilvl="2">
      <w:start w:val="1"/>
      <w:pStyle w:val="Nagwek31"/>
      <w:numFmt w:val="decimal"/>
      <w:lvlText w:val="%3."/>
      <w:lvlJc w:val="left"/>
      <w:pPr>
        <w:tabs>
          <w:tab w:val="num" w:pos="0"/>
        </w:tabs>
        <w:ind w:left="1440" w:hanging="0"/>
      </w:pPr>
      <w:rPr>
        <w:rFonts w:cs="Times New Roman"/>
      </w:rPr>
    </w:lvl>
    <w:lvl w:ilvl="3">
      <w:start w:val="1"/>
      <w:pStyle w:val="Nagwek41"/>
      <w:numFmt w:val="lowerLetter"/>
      <w:lvlText w:val="%4)"/>
      <w:lvlJc w:val="left"/>
      <w:pPr>
        <w:tabs>
          <w:tab w:val="num" w:pos="0"/>
        </w:tabs>
        <w:ind w:left="2160" w:hanging="0"/>
      </w:pPr>
      <w:rPr>
        <w:rFonts w:cs="Times New Roman"/>
      </w:rPr>
    </w:lvl>
    <w:lvl w:ilvl="4">
      <w:start w:val="1"/>
      <w:pStyle w:val="Nagwek51"/>
      <w:numFmt w:val="decimal"/>
      <w:lvlText w:val="(%5)"/>
      <w:lvlJc w:val="left"/>
      <w:pPr>
        <w:tabs>
          <w:tab w:val="num" w:pos="0"/>
        </w:tabs>
        <w:ind w:left="2880" w:hanging="0"/>
      </w:pPr>
      <w:rPr>
        <w:rFonts w:cs="Times New Roman"/>
      </w:rPr>
    </w:lvl>
    <w:lvl w:ilvl="5">
      <w:start w:val="1"/>
      <w:pStyle w:val="Nagwek61"/>
      <w:numFmt w:val="lowerLetter"/>
      <w:lvlText w:val="(%6)"/>
      <w:lvlJc w:val="left"/>
      <w:pPr>
        <w:tabs>
          <w:tab w:val="num" w:pos="0"/>
        </w:tabs>
        <w:ind w:left="3600" w:hanging="0"/>
      </w:pPr>
      <w:rPr>
        <w:rFonts w:cs="Times New Roman"/>
      </w:rPr>
    </w:lvl>
    <w:lvl w:ilvl="6">
      <w:start w:val="1"/>
      <w:pStyle w:val="Nagwek71"/>
      <w:numFmt w:val="lowerRoman"/>
      <w:lvlText w:val="(%7)"/>
      <w:lvlJc w:val="left"/>
      <w:pPr>
        <w:tabs>
          <w:tab w:val="num" w:pos="0"/>
        </w:tabs>
        <w:ind w:left="4320" w:hanging="0"/>
      </w:pPr>
      <w:rPr>
        <w:rFonts w:cs="Times New Roman"/>
      </w:rPr>
    </w:lvl>
    <w:lvl w:ilvl="7">
      <w:start w:val="1"/>
      <w:pStyle w:val="Nagwek81"/>
      <w:numFmt w:val="lowerLetter"/>
      <w:lvlText w:val="(%8)"/>
      <w:lvlJc w:val="left"/>
      <w:pPr>
        <w:tabs>
          <w:tab w:val="num" w:pos="0"/>
        </w:tabs>
        <w:ind w:left="5040" w:hanging="0"/>
      </w:pPr>
      <w:rPr>
        <w:rFonts w:cs="Times New Roman"/>
      </w:rPr>
    </w:lvl>
    <w:lvl w:ilvl="8">
      <w:start w:val="1"/>
      <w:pStyle w:val="Nagwek91"/>
      <w:numFmt w:val="lowerRoman"/>
      <w:lvlText w:val="(%9)"/>
      <w:lvlJc w:val="left"/>
      <w:pPr>
        <w:tabs>
          <w:tab w:val="num" w:pos="0"/>
        </w:tabs>
        <w:ind w:left="5760" w:hanging="0"/>
      </w:pPr>
      <w:rPr>
        <w:rFonts w:cs="Times New Roman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2"/>
      <w:numFmt w:val="decimal"/>
      <w:lvlText w:val="%1"/>
      <w:lvlJc w:val="left"/>
      <w:pPr>
        <w:tabs>
          <w:tab w:val="num" w:pos="0"/>
        </w:tabs>
        <w:ind w:left="530" w:hanging="530"/>
      </w:pPr>
      <w:rPr/>
    </w:lvl>
    <w:lvl w:ilvl="1">
      <w:start w:val="9"/>
      <w:numFmt w:val="decimal"/>
      <w:lvlText w:val="%1.%2"/>
      <w:lvlJc w:val="left"/>
      <w:pPr>
        <w:tabs>
          <w:tab w:val="num" w:pos="0"/>
        </w:tabs>
        <w:ind w:left="530" w:hanging="530"/>
      </w:pPr>
      <w:rPr/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uiPriority="0" w:semiHidden="1" w:unhideWhenUsed="1" w:qFormat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 w:qFormat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6a0c"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Header"/>
    <w:next w:val="BodyText"/>
    <w:qFormat/>
    <w:pPr>
      <w:numPr>
        <w:ilvl w:val="0"/>
        <w:numId w:val="0"/>
      </w:num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paragraph" w:styleId="Heading3">
    <w:name w:val="Heading 3"/>
    <w:basedOn w:val="Header"/>
    <w:next w:val="BodyText"/>
    <w:qFormat/>
    <w:pPr>
      <w:spacing w:before="140" w:after="0"/>
      <w:outlineLvl w:val="2"/>
    </w:pPr>
    <w:rPr>
      <w:rFonts w:ascii="Liberation Serif" w:hAnsi="Liberation Serif" w:eastAsia="Segoe UI" w:cs="Tahoma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Nagwek11"/>
    <w:uiPriority w:val="99"/>
    <w:qFormat/>
    <w:locked/>
    <w:rsid w:val="00f56c65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basedOn w:val="DefaultParagraphFont"/>
    <w:link w:val="Nagwek21"/>
    <w:uiPriority w:val="99"/>
    <w:qFormat/>
    <w:locked/>
    <w:rsid w:val="00f56c65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3Char" w:customStyle="1">
    <w:name w:val="Heading 3 Char"/>
    <w:basedOn w:val="DefaultParagraphFont"/>
    <w:link w:val="Nagwek31"/>
    <w:uiPriority w:val="99"/>
    <w:qFormat/>
    <w:locked/>
    <w:rsid w:val="00f56c65"/>
    <w:rPr>
      <w:rFonts w:ascii="Cambria" w:hAnsi="Cambria" w:cs="Times New Roman"/>
      <w:b/>
      <w:bCs/>
      <w:sz w:val="26"/>
      <w:szCs w:val="26"/>
      <w:lang w:eastAsia="zh-CN"/>
    </w:rPr>
  </w:style>
  <w:style w:type="character" w:styleId="Heading4Char" w:customStyle="1">
    <w:name w:val="Heading 4 Char"/>
    <w:basedOn w:val="DefaultParagraphFont"/>
    <w:link w:val="Nagwek41"/>
    <w:uiPriority w:val="99"/>
    <w:qFormat/>
    <w:locked/>
    <w:rsid w:val="00f56c65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5Char" w:customStyle="1">
    <w:name w:val="Heading 5 Char"/>
    <w:basedOn w:val="DefaultParagraphFont"/>
    <w:link w:val="Nagwek51"/>
    <w:uiPriority w:val="99"/>
    <w:qFormat/>
    <w:locked/>
    <w:rsid w:val="00f56c65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styleId="Heading6Char" w:customStyle="1">
    <w:name w:val="Heading 6 Char"/>
    <w:basedOn w:val="DefaultParagraphFont"/>
    <w:link w:val="Nagwek61"/>
    <w:uiPriority w:val="99"/>
    <w:qFormat/>
    <w:locked/>
    <w:rsid w:val="00f56c65"/>
    <w:rPr>
      <w:rFonts w:ascii="Calibri" w:hAnsi="Calibri" w:cs="Times New Roman"/>
      <w:b/>
      <w:bCs/>
      <w:lang w:eastAsia="zh-CN"/>
    </w:rPr>
  </w:style>
  <w:style w:type="character" w:styleId="Heading7Char" w:customStyle="1">
    <w:name w:val="Heading 7 Char"/>
    <w:basedOn w:val="DefaultParagraphFont"/>
    <w:link w:val="Nagwek71"/>
    <w:uiPriority w:val="99"/>
    <w:qFormat/>
    <w:locked/>
    <w:rsid w:val="00f56c65"/>
    <w:rPr>
      <w:rFonts w:ascii="Calibri" w:hAnsi="Calibri" w:cs="Times New Roman"/>
      <w:sz w:val="24"/>
      <w:szCs w:val="24"/>
      <w:lang w:eastAsia="zh-CN"/>
    </w:rPr>
  </w:style>
  <w:style w:type="character" w:styleId="Heading8Char" w:customStyle="1">
    <w:name w:val="Heading 8 Char"/>
    <w:basedOn w:val="DefaultParagraphFont"/>
    <w:link w:val="Nagwek81"/>
    <w:uiPriority w:val="99"/>
    <w:qFormat/>
    <w:locked/>
    <w:rsid w:val="00f56c65"/>
    <w:rPr>
      <w:rFonts w:ascii="Calibri" w:hAnsi="Calibri" w:cs="Times New Roman"/>
      <w:i/>
      <w:iCs/>
      <w:sz w:val="24"/>
      <w:szCs w:val="24"/>
      <w:lang w:eastAsia="zh-CN"/>
    </w:rPr>
  </w:style>
  <w:style w:type="character" w:styleId="Heading9Char" w:customStyle="1">
    <w:name w:val="Heading 9 Char"/>
    <w:basedOn w:val="DefaultParagraphFont"/>
    <w:link w:val="Nagwek91"/>
    <w:uiPriority w:val="99"/>
    <w:qFormat/>
    <w:locked/>
    <w:rsid w:val="00f56c65"/>
    <w:rPr>
      <w:rFonts w:ascii="Cambria" w:hAnsi="Cambria" w:cs="Times New Roman"/>
      <w:lang w:eastAsia="zh-CN"/>
    </w:rPr>
  </w:style>
  <w:style w:type="character" w:styleId="WW8Num1z0" w:customStyle="1">
    <w:name w:val="WW8Num1z0"/>
    <w:uiPriority w:val="99"/>
    <w:qFormat/>
    <w:rsid w:val="00a16a0c"/>
    <w:rPr>
      <w:rFonts w:ascii="Symbol" w:hAnsi="Symbol"/>
    </w:rPr>
  </w:style>
  <w:style w:type="character" w:styleId="WW8Num1z1" w:customStyle="1">
    <w:name w:val="WW8Num1z1"/>
    <w:uiPriority w:val="99"/>
    <w:qFormat/>
    <w:rsid w:val="00a16a0c"/>
    <w:rPr>
      <w:rFonts w:ascii="Courier New" w:hAnsi="Courier New"/>
    </w:rPr>
  </w:style>
  <w:style w:type="character" w:styleId="WW8Num1z2" w:customStyle="1">
    <w:name w:val="WW8Num1z2"/>
    <w:uiPriority w:val="99"/>
    <w:qFormat/>
    <w:rsid w:val="00a16a0c"/>
    <w:rPr>
      <w:rFonts w:ascii="Wingdings" w:hAnsi="Wingdings"/>
    </w:rPr>
  </w:style>
  <w:style w:type="character" w:styleId="WW8Num2z0" w:customStyle="1">
    <w:name w:val="WW8Num2z0"/>
    <w:uiPriority w:val="99"/>
    <w:qFormat/>
    <w:rsid w:val="00a16a0c"/>
    <w:rPr>
      <w:rFonts w:ascii="Wingdings" w:hAnsi="Wingdings"/>
    </w:rPr>
  </w:style>
  <w:style w:type="character" w:styleId="WW8Num2z1" w:customStyle="1">
    <w:name w:val="WW8Num2z1"/>
    <w:uiPriority w:val="99"/>
    <w:qFormat/>
    <w:rsid w:val="00a16a0c"/>
    <w:rPr>
      <w:rFonts w:ascii="OpenSymbol;Arial Unicode MS" w:hAnsi="OpenSymbol;Arial Unicode MS"/>
    </w:rPr>
  </w:style>
  <w:style w:type="character" w:styleId="WW8Num2z3" w:customStyle="1">
    <w:name w:val="WW8Num2z3"/>
    <w:uiPriority w:val="99"/>
    <w:qFormat/>
    <w:rsid w:val="00a16a0c"/>
    <w:rPr>
      <w:rFonts w:ascii="Symbol" w:hAnsi="Symbol"/>
    </w:rPr>
  </w:style>
  <w:style w:type="character" w:styleId="WW8Num3z0" w:customStyle="1">
    <w:name w:val="WW8Num3z0"/>
    <w:uiPriority w:val="99"/>
    <w:qFormat/>
    <w:rsid w:val="00a16a0c"/>
    <w:rPr>
      <w:rFonts w:ascii="Wingdings" w:hAnsi="Wingdings"/>
    </w:rPr>
  </w:style>
  <w:style w:type="character" w:styleId="WW8Num4z0" w:customStyle="1">
    <w:name w:val="WW8Num4z0"/>
    <w:uiPriority w:val="99"/>
    <w:qFormat/>
    <w:rsid w:val="00a16a0c"/>
    <w:rPr>
      <w:rFonts w:ascii="Symbol" w:hAnsi="Symbol"/>
    </w:rPr>
  </w:style>
  <w:style w:type="character" w:styleId="WW8Num4z1" w:customStyle="1">
    <w:name w:val="WW8Num4z1"/>
    <w:uiPriority w:val="99"/>
    <w:qFormat/>
    <w:rsid w:val="00a16a0c"/>
    <w:rPr>
      <w:rFonts w:ascii="OpenSymbol;Arial Unicode MS" w:hAnsi="OpenSymbol;Arial Unicode MS"/>
    </w:rPr>
  </w:style>
  <w:style w:type="character" w:styleId="WW8Num5z0" w:customStyle="1">
    <w:name w:val="WW8Num5z0"/>
    <w:uiPriority w:val="99"/>
    <w:qFormat/>
    <w:rsid w:val="00a16a0c"/>
    <w:rPr>
      <w:rFonts w:ascii="Wingdings" w:hAnsi="Wingdings"/>
    </w:rPr>
  </w:style>
  <w:style w:type="character" w:styleId="WW8Num6z0" w:customStyle="1">
    <w:name w:val="WW8Num6z0"/>
    <w:uiPriority w:val="99"/>
    <w:qFormat/>
    <w:rsid w:val="00a16a0c"/>
    <w:rPr>
      <w:rFonts w:ascii="Wingdings" w:hAnsi="Wingdings"/>
    </w:rPr>
  </w:style>
  <w:style w:type="character" w:styleId="WW8Num7z0" w:customStyle="1">
    <w:name w:val="WW8Num7z0"/>
    <w:uiPriority w:val="99"/>
    <w:qFormat/>
    <w:rsid w:val="00a16a0c"/>
    <w:rPr/>
  </w:style>
  <w:style w:type="character" w:styleId="WW8Num7z1" w:customStyle="1">
    <w:name w:val="WW8Num7z1"/>
    <w:uiPriority w:val="99"/>
    <w:qFormat/>
    <w:rsid w:val="00a16a0c"/>
    <w:rPr/>
  </w:style>
  <w:style w:type="character" w:styleId="WW8Num7z2" w:customStyle="1">
    <w:name w:val="WW8Num7z2"/>
    <w:uiPriority w:val="99"/>
    <w:qFormat/>
    <w:rsid w:val="00a16a0c"/>
    <w:rPr/>
  </w:style>
  <w:style w:type="character" w:styleId="WW8Num7z3" w:customStyle="1">
    <w:name w:val="WW8Num7z3"/>
    <w:uiPriority w:val="99"/>
    <w:qFormat/>
    <w:rsid w:val="00a16a0c"/>
    <w:rPr/>
  </w:style>
  <w:style w:type="character" w:styleId="WW8Num7z4" w:customStyle="1">
    <w:name w:val="WW8Num7z4"/>
    <w:uiPriority w:val="99"/>
    <w:qFormat/>
    <w:rsid w:val="00a16a0c"/>
    <w:rPr/>
  </w:style>
  <w:style w:type="character" w:styleId="WW8Num7z5" w:customStyle="1">
    <w:name w:val="WW8Num7z5"/>
    <w:uiPriority w:val="99"/>
    <w:qFormat/>
    <w:rsid w:val="00a16a0c"/>
    <w:rPr/>
  </w:style>
  <w:style w:type="character" w:styleId="WW8Num7z6" w:customStyle="1">
    <w:name w:val="WW8Num7z6"/>
    <w:uiPriority w:val="99"/>
    <w:qFormat/>
    <w:rsid w:val="00a16a0c"/>
    <w:rPr/>
  </w:style>
  <w:style w:type="character" w:styleId="WW8Num7z7" w:customStyle="1">
    <w:name w:val="WW8Num7z7"/>
    <w:uiPriority w:val="99"/>
    <w:qFormat/>
    <w:rsid w:val="00a16a0c"/>
    <w:rPr/>
  </w:style>
  <w:style w:type="character" w:styleId="WW8Num7z8" w:customStyle="1">
    <w:name w:val="WW8Num7z8"/>
    <w:uiPriority w:val="99"/>
    <w:qFormat/>
    <w:rsid w:val="00a16a0c"/>
    <w:rPr/>
  </w:style>
  <w:style w:type="character" w:styleId="WW8Num8z0" w:customStyle="1">
    <w:name w:val="WW8Num8z0"/>
    <w:uiPriority w:val="99"/>
    <w:qFormat/>
    <w:rsid w:val="00a16a0c"/>
    <w:rPr>
      <w:rFonts w:ascii="Symbol" w:hAnsi="Symbol"/>
    </w:rPr>
  </w:style>
  <w:style w:type="character" w:styleId="WW8Num8z1" w:customStyle="1">
    <w:name w:val="WW8Num8z1"/>
    <w:uiPriority w:val="99"/>
    <w:qFormat/>
    <w:rsid w:val="00a16a0c"/>
    <w:rPr>
      <w:rFonts w:ascii="OpenSymbol;Arial Unicode MS" w:hAnsi="OpenSymbol;Arial Unicode MS"/>
    </w:rPr>
  </w:style>
  <w:style w:type="character" w:styleId="WW8Num9z0" w:customStyle="1">
    <w:name w:val="WW8Num9z0"/>
    <w:uiPriority w:val="99"/>
    <w:qFormat/>
    <w:rsid w:val="00a16a0c"/>
    <w:rPr>
      <w:rFonts w:ascii="Arial" w:hAnsi="Arial"/>
      <w:sz w:val="31"/>
    </w:rPr>
  </w:style>
  <w:style w:type="character" w:styleId="WW8Num9z1" w:customStyle="1">
    <w:name w:val="WW8Num9z1"/>
    <w:uiPriority w:val="99"/>
    <w:qFormat/>
    <w:rsid w:val="00a16a0c"/>
    <w:rPr/>
  </w:style>
  <w:style w:type="character" w:styleId="WW8Num9z2" w:customStyle="1">
    <w:name w:val="WW8Num9z2"/>
    <w:uiPriority w:val="99"/>
    <w:qFormat/>
    <w:rsid w:val="00a16a0c"/>
    <w:rPr/>
  </w:style>
  <w:style w:type="character" w:styleId="WW8Num9z3" w:customStyle="1">
    <w:name w:val="WW8Num9z3"/>
    <w:uiPriority w:val="99"/>
    <w:qFormat/>
    <w:rsid w:val="00a16a0c"/>
    <w:rPr/>
  </w:style>
  <w:style w:type="character" w:styleId="WW8Num9z4" w:customStyle="1">
    <w:name w:val="WW8Num9z4"/>
    <w:uiPriority w:val="99"/>
    <w:qFormat/>
    <w:rsid w:val="00a16a0c"/>
    <w:rPr/>
  </w:style>
  <w:style w:type="character" w:styleId="WW8Num9z5" w:customStyle="1">
    <w:name w:val="WW8Num9z5"/>
    <w:uiPriority w:val="99"/>
    <w:qFormat/>
    <w:rsid w:val="00a16a0c"/>
    <w:rPr/>
  </w:style>
  <w:style w:type="character" w:styleId="WW8Num9z6" w:customStyle="1">
    <w:name w:val="WW8Num9z6"/>
    <w:uiPriority w:val="99"/>
    <w:qFormat/>
    <w:rsid w:val="00a16a0c"/>
    <w:rPr/>
  </w:style>
  <w:style w:type="character" w:styleId="WW8Num9z7" w:customStyle="1">
    <w:name w:val="WW8Num9z7"/>
    <w:uiPriority w:val="99"/>
    <w:qFormat/>
    <w:rsid w:val="00a16a0c"/>
    <w:rPr/>
  </w:style>
  <w:style w:type="character" w:styleId="WW8Num9z8" w:customStyle="1">
    <w:name w:val="WW8Num9z8"/>
    <w:uiPriority w:val="99"/>
    <w:qFormat/>
    <w:rsid w:val="00a16a0c"/>
    <w:rPr/>
  </w:style>
  <w:style w:type="character" w:styleId="WW8Num10z0" w:customStyle="1">
    <w:name w:val="WW8Num10z0"/>
    <w:uiPriority w:val="99"/>
    <w:qFormat/>
    <w:rsid w:val="00a16a0c"/>
    <w:rPr>
      <w:rFonts w:ascii="Symbol" w:hAnsi="Symbol"/>
    </w:rPr>
  </w:style>
  <w:style w:type="character" w:styleId="WW8Num10z1" w:customStyle="1">
    <w:name w:val="WW8Num10z1"/>
    <w:uiPriority w:val="99"/>
    <w:qFormat/>
    <w:rsid w:val="00a16a0c"/>
    <w:rPr>
      <w:rFonts w:ascii="OpenSymbol;Arial Unicode MS" w:hAnsi="OpenSymbol;Arial Unicode MS"/>
    </w:rPr>
  </w:style>
  <w:style w:type="character" w:styleId="Znakiprzypiswkocowych" w:customStyle="1">
    <w:name w:val="Znaki przypisów końcowych"/>
    <w:uiPriority w:val="99"/>
    <w:qFormat/>
    <w:rsid w:val="00a16a0c"/>
    <w:rPr>
      <w:vertAlign w:val="superscript"/>
    </w:rPr>
  </w:style>
  <w:style w:type="character" w:styleId="Numerstrony1" w:customStyle="1">
    <w:name w:val="Numer strony1"/>
    <w:basedOn w:val="DefaultParagraphFont"/>
    <w:uiPriority w:val="99"/>
    <w:qFormat/>
    <w:rsid w:val="00a16a0c"/>
    <w:rPr>
      <w:rFonts w:cs="Times New Roman"/>
    </w:rPr>
  </w:style>
  <w:style w:type="character" w:styleId="Nagwek1Znak" w:customStyle="1">
    <w:name w:val="Nagłówek 1 Znak"/>
    <w:uiPriority w:val="99"/>
    <w:qFormat/>
    <w:rsid w:val="00a16a0c"/>
    <w:rPr>
      <w:rFonts w:ascii="Calibri Light" w:hAnsi="Calibri Light"/>
      <w:b/>
      <w:kern w:val="2"/>
      <w:sz w:val="32"/>
    </w:rPr>
  </w:style>
  <w:style w:type="character" w:styleId="Nagwek2Znak" w:customStyle="1">
    <w:name w:val="Nagłówek 2 Znak"/>
    <w:uiPriority w:val="99"/>
    <w:qFormat/>
    <w:rsid w:val="00a16a0c"/>
    <w:rPr>
      <w:rFonts w:ascii="Calibri Light" w:hAnsi="Calibri Light"/>
      <w:b/>
      <w:i/>
      <w:sz w:val="28"/>
    </w:rPr>
  </w:style>
  <w:style w:type="character" w:styleId="Nagwek3Znak" w:customStyle="1">
    <w:name w:val="Nagłówek 3 Znak"/>
    <w:uiPriority w:val="99"/>
    <w:qFormat/>
    <w:rsid w:val="00a16a0c"/>
    <w:rPr>
      <w:rFonts w:ascii="Calibri Light" w:hAnsi="Calibri Light"/>
      <w:b/>
      <w:sz w:val="26"/>
    </w:rPr>
  </w:style>
  <w:style w:type="character" w:styleId="Nagwek4Znak" w:customStyle="1">
    <w:name w:val="Nagłówek 4 Znak"/>
    <w:uiPriority w:val="99"/>
    <w:qFormat/>
    <w:rsid w:val="00a16a0c"/>
    <w:rPr>
      <w:rFonts w:ascii="Calibri" w:hAnsi="Calibri"/>
      <w:b/>
      <w:sz w:val="28"/>
    </w:rPr>
  </w:style>
  <w:style w:type="character" w:styleId="Nagwek5Znak" w:customStyle="1">
    <w:name w:val="Nagłówek 5 Znak"/>
    <w:uiPriority w:val="99"/>
    <w:qFormat/>
    <w:rsid w:val="00a16a0c"/>
    <w:rPr>
      <w:rFonts w:ascii="Calibri" w:hAnsi="Calibri"/>
      <w:b/>
      <w:i/>
      <w:sz w:val="26"/>
    </w:rPr>
  </w:style>
  <w:style w:type="character" w:styleId="Nagwek6Znak" w:customStyle="1">
    <w:name w:val="Nagłówek 6 Znak"/>
    <w:uiPriority w:val="99"/>
    <w:qFormat/>
    <w:rsid w:val="00a16a0c"/>
    <w:rPr>
      <w:rFonts w:ascii="Calibri" w:hAnsi="Calibri"/>
      <w:b/>
      <w:sz w:val="22"/>
    </w:rPr>
  </w:style>
  <w:style w:type="character" w:styleId="Nagwek7Znak" w:customStyle="1">
    <w:name w:val="Nagłówek 7 Znak"/>
    <w:uiPriority w:val="99"/>
    <w:qFormat/>
    <w:rsid w:val="00a16a0c"/>
    <w:rPr>
      <w:rFonts w:ascii="Calibri" w:hAnsi="Calibri"/>
      <w:sz w:val="24"/>
    </w:rPr>
  </w:style>
  <w:style w:type="character" w:styleId="Nagwek8Znak" w:customStyle="1">
    <w:name w:val="Nagłówek 8 Znak"/>
    <w:uiPriority w:val="99"/>
    <w:qFormat/>
    <w:rsid w:val="00a16a0c"/>
    <w:rPr>
      <w:rFonts w:ascii="Calibri" w:hAnsi="Calibri"/>
      <w:i/>
      <w:sz w:val="24"/>
    </w:rPr>
  </w:style>
  <w:style w:type="character" w:styleId="Nagwek9Znak" w:customStyle="1">
    <w:name w:val="Nagłówek 9 Znak"/>
    <w:uiPriority w:val="99"/>
    <w:qFormat/>
    <w:rsid w:val="00a16a0c"/>
    <w:rPr>
      <w:rFonts w:ascii="Calibri Light" w:hAnsi="Calibri Light"/>
      <w:sz w:val="22"/>
    </w:rPr>
  </w:style>
  <w:style w:type="character" w:styleId="TekstdymkaZnak" w:customStyle="1">
    <w:name w:val="Tekst dymka Znak"/>
    <w:uiPriority w:val="99"/>
    <w:qFormat/>
    <w:rsid w:val="00a16a0c"/>
    <w:rPr>
      <w:rFonts w:ascii="Segoe UI" w:hAnsi="Segoe UI"/>
      <w:sz w:val="18"/>
    </w:rPr>
  </w:style>
  <w:style w:type="character" w:styleId="HeaderChar" w:customStyle="1">
    <w:name w:val="Header Char"/>
    <w:basedOn w:val="DefaultParagraphFont"/>
    <w:link w:val="Nagwek1"/>
    <w:uiPriority w:val="99"/>
    <w:qFormat/>
    <w:locked/>
    <w:rsid w:val="00f56c65"/>
    <w:rPr>
      <w:rFonts w:ascii="Times New Roman" w:hAnsi="Times New Roman" w:cs="Times New Roman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qFormat/>
    <w:locked/>
    <w:rsid w:val="00f56c65"/>
    <w:rPr>
      <w:rFonts w:ascii="Times New Roman" w:hAnsi="Times New Roman" w:cs="Times New Roman"/>
      <w:sz w:val="24"/>
      <w:szCs w:val="24"/>
      <w:lang w:eastAsia="zh-CN"/>
    </w:rPr>
  </w:style>
  <w:style w:type="character" w:styleId="EndnoteTextChar" w:customStyle="1">
    <w:name w:val="Endnote Text Char"/>
    <w:basedOn w:val="DefaultParagraphFont"/>
    <w:link w:val="Tekstprzypisukocowego1"/>
    <w:uiPriority w:val="99"/>
    <w:qFormat/>
    <w:locked/>
    <w:rsid w:val="00f56c65"/>
    <w:rPr>
      <w:rFonts w:ascii="Times New Roman" w:hAnsi="Times New Roman" w:cs="Times New Roman"/>
      <w:sz w:val="20"/>
      <w:szCs w:val="20"/>
      <w:lang w:eastAsia="zh-CN"/>
    </w:rPr>
  </w:style>
  <w:style w:type="character" w:styleId="FooterChar" w:customStyle="1">
    <w:name w:val="Footer Char"/>
    <w:basedOn w:val="DefaultParagraphFont"/>
    <w:uiPriority w:val="99"/>
    <w:semiHidden/>
    <w:qFormat/>
    <w:locked/>
    <w:rsid w:val="00f56c65"/>
    <w:rPr>
      <w:rFonts w:ascii="Times New Roman" w:hAnsi="Times New Roman" w:cs="Times New Roman"/>
      <w:sz w:val="24"/>
      <w:szCs w:val="24"/>
      <w:lang w:eastAsia="zh-CN"/>
    </w:rPr>
  </w:style>
  <w:style w:type="character" w:styleId="TekstdymkaZnak1" w:customStyle="1">
    <w:name w:val="Tekst dymka Znak1"/>
    <w:basedOn w:val="DefaultParagraphFont"/>
    <w:link w:val="BalloonText"/>
    <w:uiPriority w:val="99"/>
    <w:qFormat/>
    <w:locked/>
    <w:rsid w:val="00f56c65"/>
    <w:rPr>
      <w:rFonts w:ascii="Times New Roman" w:hAnsi="Times New Roman" w:cs="Times New Roman"/>
      <w:sz w:val="2"/>
      <w:lang w:eastAsia="zh-CN"/>
    </w:rPr>
  </w:style>
  <w:style w:type="character" w:styleId="MapadokumentuZnak" w:customStyle="1">
    <w:name w:val="Mapa dokumentu Znak"/>
    <w:basedOn w:val="DefaultParagraphFont"/>
    <w:link w:val="DocumentMap"/>
    <w:uiPriority w:val="99"/>
    <w:semiHidden/>
    <w:qFormat/>
    <w:locked/>
    <w:rsid w:val="00f56c65"/>
    <w:rPr>
      <w:rFonts w:ascii="Times New Roman" w:hAnsi="Times New Roman" w:cs="Times New Roman"/>
      <w:sz w:val="2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a7517e"/>
    <w:rPr>
      <w:rFonts w:ascii="Times New Roman" w:hAnsi="Times New Roman" w:cs="Times New Roman"/>
      <w:sz w:val="24"/>
      <w:szCs w:val="24"/>
      <w:lang w:eastAsia="zh-CN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 w:customStyle="1">
    <w:name w:val="Endnote Characters11111"/>
    <w:qFormat/>
    <w:rPr>
      <w:vertAlign w:val="superscript"/>
    </w:rPr>
  </w:style>
  <w:style w:type="character" w:styleId="EndnoteCharacters111111" w:customStyle="1">
    <w:name w:val="Endnote Characters111111"/>
    <w:qFormat/>
    <w:rPr>
      <w:vertAlign w:val="superscript"/>
    </w:rPr>
  </w:style>
  <w:style w:type="character" w:styleId="EndnoteCharacters1111111" w:customStyle="1">
    <w:name w:val="Endnote Characters111111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 w:customStyle="1">
    <w:name w:val="Footnote Characters11111"/>
    <w:qFormat/>
    <w:rPr>
      <w:vertAlign w:val="superscript"/>
    </w:rPr>
  </w:style>
  <w:style w:type="character" w:styleId="FootnoteCharacters111111" w:customStyle="1">
    <w:name w:val="Footnote Characters111111"/>
    <w:qFormat/>
    <w:rPr>
      <w:vertAlign w:val="superscript"/>
    </w:rPr>
  </w:style>
  <w:style w:type="character" w:styleId="FootnoteCharacters1111111" w:customStyle="1">
    <w:name w:val="Footnote Characters1111111"/>
    <w:qFormat/>
    <w:rPr>
      <w:vertAlign w:val="superscript"/>
    </w:rPr>
  </w:style>
  <w:style w:type="character" w:styleId="Znakiprzypiswdolnych" w:customStyle="1">
    <w:name w:val="Znaki przypisów dolnych"/>
    <w:qFormat/>
    <w:rPr/>
  </w:style>
  <w:style w:type="character" w:styleId="NagwekZnak" w:customStyle="1">
    <w:name w:val="Nagłówek Znak"/>
    <w:basedOn w:val="DefaultParagraphFont"/>
    <w:qFormat/>
    <w:rsid w:val="00491e94"/>
    <w:rPr>
      <w:rFonts w:ascii="Liberation Sans" w:hAnsi="Liberation Sans" w:eastAsia="Microsoft YaHei"/>
      <w:sz w:val="28"/>
      <w:szCs w:val="28"/>
      <w:lang w:eastAsia="zh-CN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a16a0c"/>
    <w:pPr>
      <w:spacing w:lineRule="auto" w:line="276" w:before="0" w:after="140"/>
    </w:pPr>
    <w:rPr/>
  </w:style>
  <w:style w:type="paragraph" w:styleId="List">
    <w:name w:val="List"/>
    <w:basedOn w:val="BodyText"/>
    <w:uiPriority w:val="99"/>
    <w:rsid w:val="00a16a0c"/>
    <w:pPr/>
    <w:rPr>
      <w:rFonts w:cs="Mangal"/>
    </w:rPr>
  </w:style>
  <w:style w:type="paragraph" w:styleId="Caption">
    <w:name w:val="Caption"/>
    <w:basedOn w:val="Normal"/>
    <w:uiPriority w:val="99"/>
    <w:qFormat/>
    <w:rsid w:val="00a16a0c"/>
    <w:pPr>
      <w:suppressLineNumbers/>
      <w:spacing w:before="120" w:after="120"/>
    </w:pPr>
    <w:rPr>
      <w:rFonts w:cs="Mangal"/>
      <w:i/>
      <w:iCs/>
    </w:rPr>
  </w:style>
  <w:style w:type="paragraph" w:styleId="Indeks" w:customStyle="1">
    <w:name w:val="Indeks"/>
    <w:basedOn w:val="Normal"/>
    <w:uiPriority w:val="99"/>
    <w:qFormat/>
    <w:rsid w:val="00a16a0c"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uiPriority w:val="99"/>
    <w:qFormat/>
    <w:rsid w:val="00a16a0c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link w:val="NagwekZnak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Nagwek11" w:customStyle="1">
    <w:name w:val="Nagłówek 11"/>
    <w:basedOn w:val="Normal"/>
    <w:next w:val="Normal"/>
    <w:link w:val="Heading1Char"/>
    <w:uiPriority w:val="99"/>
    <w:qFormat/>
    <w:rsid w:val="00a16a0c"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Nagwek21" w:customStyle="1">
    <w:name w:val="Nagłówek 21"/>
    <w:basedOn w:val="Normal"/>
    <w:next w:val="Normal"/>
    <w:link w:val="Heading2Char"/>
    <w:uiPriority w:val="99"/>
    <w:qFormat/>
    <w:rsid w:val="00a16a0c"/>
    <w:pPr>
      <w:keepNext w:val="true"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1" w:customStyle="1">
    <w:name w:val="Nagłówek 31"/>
    <w:basedOn w:val="Normal"/>
    <w:next w:val="Normal"/>
    <w:link w:val="Heading3Char"/>
    <w:uiPriority w:val="99"/>
    <w:qFormat/>
    <w:rsid w:val="00a16a0c"/>
    <w:pPr>
      <w:keepNext w:val="true"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1" w:customStyle="1">
    <w:name w:val="Nagłówek 41"/>
    <w:basedOn w:val="Normal"/>
    <w:next w:val="Normal"/>
    <w:link w:val="Heading4Char"/>
    <w:uiPriority w:val="99"/>
    <w:qFormat/>
    <w:rsid w:val="00a16a0c"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1" w:customStyle="1">
    <w:name w:val="Nagłówek 51"/>
    <w:basedOn w:val="Normal"/>
    <w:next w:val="Normal"/>
    <w:link w:val="Heading5Char"/>
    <w:uiPriority w:val="99"/>
    <w:qFormat/>
    <w:rsid w:val="00a16a0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1" w:customStyle="1">
    <w:name w:val="Nagłówek 61"/>
    <w:basedOn w:val="Normal"/>
    <w:next w:val="Normal"/>
    <w:link w:val="Heading6Char"/>
    <w:uiPriority w:val="99"/>
    <w:qFormat/>
    <w:rsid w:val="00a16a0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1" w:customStyle="1">
    <w:name w:val="Nagłówek 71"/>
    <w:basedOn w:val="Normal"/>
    <w:next w:val="Normal"/>
    <w:link w:val="Heading7Char"/>
    <w:uiPriority w:val="99"/>
    <w:qFormat/>
    <w:rsid w:val="00a16a0c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gwek81" w:customStyle="1">
    <w:name w:val="Nagłówek 81"/>
    <w:basedOn w:val="Normal"/>
    <w:next w:val="Normal"/>
    <w:link w:val="Heading8Char"/>
    <w:uiPriority w:val="99"/>
    <w:qFormat/>
    <w:rsid w:val="00a16a0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1" w:customStyle="1">
    <w:name w:val="Nagłówek 91"/>
    <w:basedOn w:val="Normal"/>
    <w:next w:val="Normal"/>
    <w:link w:val="Heading9Char"/>
    <w:uiPriority w:val="99"/>
    <w:qFormat/>
    <w:rsid w:val="00a16a0c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paragraph" w:styleId="Nagwek1" w:customStyle="1">
    <w:name w:val="Nagłówek1"/>
    <w:basedOn w:val="Normal"/>
    <w:next w:val="BodyText"/>
    <w:link w:val="HeaderChar"/>
    <w:uiPriority w:val="99"/>
    <w:qFormat/>
    <w:rsid w:val="00a16a0c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kstprzypisukocowego1" w:customStyle="1">
    <w:name w:val="Tekst przypisu końcowego1"/>
    <w:basedOn w:val="Normal"/>
    <w:link w:val="EndnoteTextChar"/>
    <w:uiPriority w:val="99"/>
    <w:qFormat/>
    <w:rsid w:val="00a16a0c"/>
    <w:pPr/>
    <w:rPr>
      <w:sz w:val="20"/>
      <w:szCs w:val="20"/>
    </w:rPr>
  </w:style>
  <w:style w:type="paragraph" w:styleId="BalloonText">
    <w:name w:val="Balloon Text"/>
    <w:basedOn w:val="Normal"/>
    <w:link w:val="TekstdymkaZnak1"/>
    <w:uiPriority w:val="99"/>
    <w:qFormat/>
    <w:rsid w:val="00a16a0c"/>
    <w:pPr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MapadokumentuZnak"/>
    <w:uiPriority w:val="99"/>
    <w:semiHidden/>
    <w:qFormat/>
    <w:rsid w:val="000757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locked/>
    <w:rsid w:val="00a7517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Normal"/>
    <w:qFormat/>
    <w:rsid w:val="00902223"/>
    <w:pPr>
      <w:suppressLineNumbers/>
      <w:spacing w:before="120" w:after="120"/>
    </w:pPr>
    <w:rPr>
      <w:rFonts w:cs="Mangal"/>
      <w:i/>
      <w:iCs/>
    </w:rPr>
  </w:style>
  <w:style w:type="paragraph" w:styleId="Zawartotabeli" w:customStyle="1">
    <w:name w:val="Zawartość tabeli"/>
    <w:basedOn w:val="Normal"/>
    <w:uiPriority w:val="99"/>
    <w:qFormat/>
    <w:rsid w:val="00a16a0c"/>
    <w:pPr>
      <w:suppressLineNumbers/>
    </w:pPr>
    <w:rPr/>
  </w:style>
  <w:style w:type="paragraph" w:styleId="Nagwektabeli" w:customStyle="1">
    <w:name w:val="Nagłówek tabeli"/>
    <w:basedOn w:val="Zawartotabeli"/>
    <w:uiPriority w:val="99"/>
    <w:qFormat/>
    <w:rsid w:val="00a16a0c"/>
    <w:pPr>
      <w:jc w:val="center"/>
    </w:pPr>
    <w:rPr>
      <w:b/>
      <w:bCs/>
    </w:rPr>
  </w:style>
  <w:style w:type="paragraph" w:styleId="Zawartoramki" w:customStyle="1">
    <w:name w:val="Zawartość ramki"/>
    <w:basedOn w:val="Normal"/>
    <w:uiPriority w:val="99"/>
    <w:qFormat/>
    <w:rsid w:val="00a16a0c"/>
    <w:pPr/>
    <w:rPr/>
  </w:style>
  <w:style w:type="paragraph" w:styleId="Default" w:customStyle="1">
    <w:name w:val="Default"/>
    <w:uiPriority w:val="99"/>
    <w:qFormat/>
    <w:rsid w:val="00b11387"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qFormat/>
    <w:rsid w:val="00902223"/>
    <w:pPr>
      <w:spacing w:before="0" w:after="16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2.jpeg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80BC3-96E0-45B0-A239-F52A6E20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LibreOffice/24.2.4.2$Windows_X86_64 LibreOffice_project/51a6219feb6075d9a4c46691dcfe0cd9c4fff3c2</Application>
  <AppVersion>15.0000</AppVersion>
  <Pages>21</Pages>
  <Words>4032</Words>
  <Characters>26887</Characters>
  <CharactersWithSpaces>31395</CharactersWithSpaces>
  <Paragraphs>757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2024-06-26T06:22:00Z</dcterms:created>
  <dc:creator>Jan Żakowski</dc:creator>
  <dc:description/>
  <cp:keywords>program program program program program program program program program program</cp:keywords>
  <dc:language>pl-PL</dc:language>
  <cp:lastModifiedBy/>
  <cp:lastPrinted>2020-03-10T13:20:00Z</cp:lastPrinted>
  <dcterms:modified xsi:type="dcterms:W3CDTF">2024-07-05T13:40:55Z</dcterms:modified>
  <cp:revision>9</cp:revision>
  <dc:subject>Program funkcjonalno urzytkowy</dc:subject>
  <dc:title>Program funkcjonalno –użytkowy dla zadania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